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Times New Roman" w:hAnsi="宋体"/>
          <w:color w:val="333333"/>
          <w:spacing w:val="15"/>
          <w:sz w:val="28"/>
          <w:szCs w:val="28"/>
        </w:rPr>
      </w:pPr>
      <w:r>
        <w:rPr>
          <w:rFonts w:ascii="Times New Roman" w:hAnsi="Times New Roman" w:eastAsia="方正小标宋简体" w:cs="Times New Roman"/>
          <w:kern w:val="0"/>
          <w:sz w:val="42"/>
          <w:szCs w:val="44"/>
        </w:rPr>
        <w:t>20</w:t>
      </w:r>
      <w:r>
        <w:rPr>
          <w:rFonts w:ascii="Times New Roman" w:hAnsi="Times New Roman" w:eastAsia="方正小标宋简体" w:cs="Times New Roman"/>
          <w:kern w:val="0"/>
          <w:sz w:val="42"/>
          <w:szCs w:val="44"/>
          <w:lang w:val="en"/>
        </w:rPr>
        <w:t>2</w:t>
      </w:r>
      <w:r>
        <w:rPr>
          <w:rFonts w:hint="eastAsia" w:ascii="Times New Roman" w:hAnsi="Times New Roman" w:eastAsia="方正小标宋简体" w:cs="Times New Roman"/>
          <w:kern w:val="0"/>
          <w:sz w:val="42"/>
          <w:szCs w:val="44"/>
        </w:rPr>
        <w:t>1</w:t>
      </w:r>
      <w:r>
        <w:rPr>
          <w:rFonts w:ascii="Times New Roman" w:hAnsi="Times New Roman" w:eastAsia="方正小标宋简体" w:cs="Times New Roman"/>
          <w:kern w:val="0"/>
          <w:sz w:val="42"/>
          <w:szCs w:val="44"/>
        </w:rPr>
        <w:t>年周口市国民经济和社会发展统计公报</w:t>
      </w:r>
    </w:p>
    <w:p>
      <w:pPr>
        <w:pStyle w:val="17"/>
        <w:widowControl/>
        <w:spacing w:before="156" w:beforeLines="50" w:beforeAutospacing="0" w:after="156" w:afterLines="50" w:afterAutospacing="0" w:line="560" w:lineRule="exact"/>
        <w:ind w:firstLine="620" w:firstLineChars="200"/>
        <w:jc w:val="center"/>
        <w:rPr>
          <w:rFonts w:ascii="Times New Roman" w:hAnsi="宋体"/>
          <w:color w:val="333333"/>
          <w:spacing w:val="15"/>
          <w:sz w:val="28"/>
          <w:szCs w:val="28"/>
        </w:rPr>
      </w:pPr>
      <w:r>
        <w:rPr>
          <w:rFonts w:ascii="Times New Roman" w:hAnsi="宋体"/>
          <w:color w:val="333333"/>
          <w:spacing w:val="15"/>
          <w:sz w:val="28"/>
          <w:szCs w:val="28"/>
        </w:rPr>
        <w:t>周口市统计局</w:t>
      </w:r>
    </w:p>
    <w:p>
      <w:pPr>
        <w:pStyle w:val="17"/>
        <w:widowControl/>
        <w:spacing w:before="156" w:beforeLines="50" w:beforeAutospacing="0" w:after="156" w:afterLines="50" w:afterAutospacing="0" w:line="560" w:lineRule="exact"/>
        <w:ind w:firstLine="560" w:firstLineChars="200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hint="eastAsia" w:ascii="Times New Roman" w:hAnsi="Times New Roman"/>
          <w:color w:val="333333"/>
          <w:sz w:val="28"/>
          <w:szCs w:val="28"/>
        </w:rPr>
        <w:t>（2022年</w:t>
      </w:r>
      <w:r>
        <w:rPr>
          <w:rFonts w:hint="eastAsia" w:ascii="Times New Roman" w:hAnsi="Times New Roman"/>
          <w:color w:val="333333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/>
          <w:color w:val="333333"/>
          <w:sz w:val="28"/>
          <w:szCs w:val="28"/>
        </w:rPr>
        <w:t>月</w:t>
      </w:r>
      <w:r>
        <w:rPr>
          <w:rFonts w:hint="eastAsia" w:ascii="Times New Roman" w:hAnsi="Times New Roman"/>
          <w:color w:val="333333"/>
          <w:sz w:val="28"/>
          <w:szCs w:val="28"/>
          <w:lang w:val="en-US" w:eastAsia="zh-CN"/>
        </w:rPr>
        <w:t>28</w:t>
      </w:r>
      <w:r>
        <w:rPr>
          <w:rFonts w:hint="eastAsia" w:ascii="Times New Roman" w:hAnsi="Times New Roman"/>
          <w:color w:val="333333"/>
          <w:sz w:val="28"/>
          <w:szCs w:val="28"/>
        </w:rPr>
        <w:t>日）</w:t>
      </w:r>
    </w:p>
    <w:p>
      <w:pPr>
        <w:pStyle w:val="17"/>
        <w:widowControl/>
        <w:spacing w:beforeAutospacing="0" w:afterAutospacing="0" w:line="560" w:lineRule="exact"/>
        <w:ind w:firstLine="480" w:firstLineChars="200"/>
        <w:jc w:val="both"/>
        <w:rPr>
          <w:rFonts w:ascii="Times New Roman" w:hAnsi="宋体"/>
        </w:rPr>
      </w:pPr>
      <w:r>
        <w:rPr>
          <w:rFonts w:hint="eastAsia" w:ascii="Times New Roman" w:hAnsi="宋体"/>
        </w:rPr>
        <w:t>2021年，面对复杂多变的国内外环境，在市委市政府的坚强领导下，全市上下认真贯彻落实各项决策部署，紧紧围绕全年经济社会发展工作目标任务，积极有效应对突发疫情汛情等风险挑战，全力推动全市经济社会发展，全年全市经济平稳恢复、持续增长，主要经济指标增速高于全省平均水平、两年平均增速保持增长，经济发展呈现出较强的韧性和潜力。</w:t>
      </w:r>
    </w:p>
    <w:p>
      <w:pPr>
        <w:widowControl/>
        <w:spacing w:before="120" w:after="120"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一、综  合</w:t>
      </w:r>
    </w:p>
    <w:p>
      <w:pPr>
        <w:pStyle w:val="17"/>
        <w:widowControl/>
        <w:spacing w:beforeAutospacing="0" w:afterAutospacing="0" w:line="560" w:lineRule="exact"/>
        <w:ind w:firstLine="480" w:firstLineChars="200"/>
        <w:jc w:val="both"/>
        <w:rPr>
          <w:rFonts w:ascii="Times New Roman" w:hAnsi="宋体"/>
        </w:rPr>
      </w:pPr>
      <w:r>
        <w:rPr>
          <w:rFonts w:hint="eastAsia" w:ascii="Times New Roman" w:hAnsi="宋体"/>
        </w:rPr>
        <w:t>初步核算，全年全市生产总值3496.23亿元，比上年增长6.3%。其中，第一产业增加值610.57亿元，增长6.6%；第二产业增加值1416.79亿元，增长4.7%；第三产业增加值1468.88亿元，增长7.6%。三次产业结构为17.5：40.5：42.0。</w:t>
      </w:r>
      <w:r>
        <w:rPr>
          <w:rFonts w:hint="eastAsia" w:ascii="Times New Roman" w:hAnsi="宋体"/>
          <w:color w:val="auto"/>
        </w:rPr>
        <w:t>全年人均地区生产总值39126元，增长7.3%。</w:t>
      </w:r>
    </w:p>
    <w:p>
      <w:pPr>
        <w:pStyle w:val="17"/>
        <w:widowControl/>
        <w:spacing w:beforeAutospacing="0" w:after="150" w:afterAutospacing="0" w:line="360" w:lineRule="auto"/>
        <w:ind w:firstLine="481" w:firstLineChars="200"/>
        <w:jc w:val="center"/>
        <w:rPr>
          <w:rFonts w:ascii="Times New Roman" w:hAnsi="Times New Roman"/>
          <w:b/>
          <w:bCs/>
          <w:sz w:val="22"/>
          <w:szCs w:val="21"/>
        </w:rPr>
      </w:pPr>
      <w:r>
        <w:rPr>
          <w:rFonts w:hint="eastAsia" w:ascii="宋体" w:hAnsi="宋体" w:cs="宋体"/>
          <w:b/>
          <w:bCs/>
        </w:rPr>
        <w:t>图1  2017-2021年周口市地区生产总值及增速</w:t>
      </w:r>
    </w:p>
    <w:p>
      <w:pPr>
        <w:pStyle w:val="17"/>
        <w:widowControl/>
        <w:spacing w:beforeAutospacing="0" w:afterAutospacing="0" w:line="615" w:lineRule="atLeast"/>
        <w:jc w:val="center"/>
        <w:rPr>
          <w:rFonts w:ascii="Times New Roman" w:hAnsi="Times New Roman"/>
          <w:szCs w:val="22"/>
        </w:rPr>
      </w:pPr>
      <w:r>
        <w:drawing>
          <wp:inline distT="0" distB="0" distL="114300" distR="114300">
            <wp:extent cx="4813300" cy="3144520"/>
            <wp:effectExtent l="0" t="0" r="6350" b="17780"/>
            <wp:docPr id="1303" name="周口市地区生产总值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17"/>
        <w:widowControl/>
        <w:spacing w:beforeAutospacing="0" w:afterAutospacing="0" w:line="560" w:lineRule="exact"/>
        <w:ind w:firstLine="480" w:firstLineChars="200"/>
        <w:jc w:val="both"/>
        <w:rPr>
          <w:rFonts w:ascii="Times New Roman" w:hAnsi="宋体"/>
        </w:rPr>
      </w:pPr>
      <w:r>
        <w:rPr>
          <w:rFonts w:hint="eastAsia" w:ascii="Times New Roman" w:hAnsi="宋体"/>
        </w:rPr>
        <w:t>年末全市常住人口885.30万人。全年出生人口8.00万人，出生率8.96‰；死亡人口7.30万人，死亡率8.20‰，自然增加人口0.70万人，自然增长率0.76‰。年末常住人口中，城镇人口386.17万人，乡村人口499.13万人，城镇化率达到43.62%，比上年提高1.04个百分点。年末常住人口中，</w:t>
      </w:r>
      <w:r>
        <w:rPr>
          <w:rFonts w:hint="eastAsia" w:ascii="Times New Roman" w:hAnsi="宋体"/>
          <w:color w:val="auto"/>
        </w:rPr>
        <w:t>男性人口为439.9万人，女性人口为445.4万人，人口性别比（以女性为100，男性对女性的比例）由2020年的97.43上升为98.77。年末常住人口中，0-14岁人口为214.8万人，占24.26%；15-59岁人口为494.0万人，占55.8</w:t>
      </w:r>
      <w:r>
        <w:rPr>
          <w:rFonts w:hint="eastAsia" w:ascii="Times New Roman" w:hAnsi="宋体"/>
          <w:color w:val="auto"/>
          <w:lang w:val="en-US" w:eastAsia="zh-CN"/>
        </w:rPr>
        <w:t>0</w:t>
      </w:r>
      <w:r>
        <w:rPr>
          <w:rFonts w:hint="eastAsia" w:ascii="Times New Roman" w:hAnsi="宋体"/>
          <w:color w:val="auto"/>
        </w:rPr>
        <w:t>%；60岁及以上人口为176.5万人，占19.94%；其中</w:t>
      </w:r>
      <w:r>
        <w:rPr>
          <w:rFonts w:hint="eastAsia" w:ascii="Times New Roman" w:hAnsi="宋体"/>
          <w:color w:val="auto"/>
          <w:highlight w:val="none"/>
          <w:lang w:eastAsia="zh-CN"/>
        </w:rPr>
        <w:t>，</w:t>
      </w:r>
      <w:r>
        <w:rPr>
          <w:rFonts w:hint="eastAsia" w:ascii="Times New Roman" w:hAnsi="宋体"/>
          <w:color w:val="auto"/>
        </w:rPr>
        <w:t>65岁及以上人口为142.1万人，占常住人口16.05%。</w:t>
      </w:r>
    </w:p>
    <w:p>
      <w:pPr>
        <w:pStyle w:val="17"/>
        <w:widowControl/>
        <w:spacing w:beforeAutospacing="0" w:afterAutospacing="0" w:line="560" w:lineRule="exact"/>
        <w:ind w:firstLine="480" w:firstLineChars="200"/>
        <w:jc w:val="both"/>
        <w:rPr>
          <w:rFonts w:ascii="Times New Roman" w:hAnsi="宋体"/>
        </w:rPr>
      </w:pPr>
      <w:r>
        <w:rPr>
          <w:rFonts w:hint="eastAsia" w:ascii="Times New Roman" w:hAnsi="宋体"/>
        </w:rPr>
        <w:t>全年全市居民消费价格比上年上涨1.3%。其中，城市上涨1.4%，农村上涨1.3%。分类别看，食品烟酒类上涨1.1%，其中，粮食上涨0.2%，鲜菜上涨13.0%，畜肉下降13.9%，水产品上涨11.1%，蛋类上涨19.0%，鲜果上涨5.4%；衣着类上涨0.6%；居住类上涨0.6%；生活用品及服务类与上年持平；交通和通信类上涨2.9%；教育文化和娱乐类价格上涨3.1%；医疗保健类上涨2.0%；其他用品和服务类下降0.5%。</w:t>
      </w:r>
    </w:p>
    <w:p>
      <w:pPr>
        <w:pStyle w:val="17"/>
        <w:widowControl/>
        <w:spacing w:beforeAutospacing="0" w:after="150" w:afterAutospacing="0" w:line="300" w:lineRule="atLeast"/>
        <w:jc w:val="center"/>
        <w:rPr>
          <w:rFonts w:ascii="Times New Roman" w:hAnsi="Times New Roman"/>
        </w:rPr>
      </w:pPr>
      <w:r>
        <w:rPr>
          <w:rStyle w:val="11"/>
          <w:rFonts w:ascii="Times New Roman" w:hAnsi="宋体"/>
        </w:rPr>
        <w:t>表</w:t>
      </w:r>
      <w:r>
        <w:rPr>
          <w:rStyle w:val="11"/>
          <w:rFonts w:ascii="Times New Roman" w:hAnsi="Times New Roman"/>
        </w:rPr>
        <w:t>1</w:t>
      </w:r>
      <w:r>
        <w:rPr>
          <w:rStyle w:val="11"/>
          <w:rFonts w:hint="eastAsia" w:ascii="Times New Roman" w:hAnsi="Times New Roman"/>
        </w:rPr>
        <w:t xml:space="preserve">  </w:t>
      </w:r>
      <w:r>
        <w:rPr>
          <w:rStyle w:val="11"/>
          <w:rFonts w:ascii="Times New Roman" w:hAnsi="Times New Roman"/>
        </w:rPr>
        <w:t>20</w:t>
      </w:r>
      <w:r>
        <w:rPr>
          <w:rStyle w:val="11"/>
          <w:rFonts w:ascii="Times New Roman" w:hAnsi="Times New Roman"/>
          <w:lang w:val="en"/>
        </w:rPr>
        <w:t>2</w:t>
      </w:r>
      <w:r>
        <w:rPr>
          <w:rStyle w:val="11"/>
          <w:rFonts w:hint="eastAsia" w:ascii="Times New Roman" w:hAnsi="Times New Roman"/>
        </w:rPr>
        <w:t>1</w:t>
      </w:r>
      <w:r>
        <w:rPr>
          <w:rStyle w:val="11"/>
          <w:rFonts w:ascii="Times New Roman" w:hAnsi="宋体"/>
        </w:rPr>
        <w:t>年居民消费价格指数</w:t>
      </w:r>
    </w:p>
    <w:p>
      <w:pPr>
        <w:pStyle w:val="17"/>
        <w:widowControl/>
        <w:spacing w:beforeAutospacing="0" w:after="150" w:afterAutospacing="0" w:line="300" w:lineRule="atLeast"/>
        <w:ind w:firstLine="48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宋体"/>
          <w:sz w:val="21"/>
          <w:szCs w:val="21"/>
        </w:rPr>
        <w:t>以上年为</w:t>
      </w:r>
      <w:r>
        <w:rPr>
          <w:rFonts w:ascii="Times New Roman" w:hAnsi="Times New Roman"/>
          <w:sz w:val="21"/>
          <w:szCs w:val="21"/>
        </w:rPr>
        <w:t>100   </w:t>
      </w:r>
    </w:p>
    <w:tbl>
      <w:tblPr>
        <w:tblStyle w:val="9"/>
        <w:tblW w:w="7775" w:type="dxa"/>
        <w:jc w:val="center"/>
        <w:tblBorders>
          <w:top w:val="single" w:color="999999" w:sz="2" w:space="0"/>
          <w:left w:val="single" w:color="999999" w:sz="2" w:space="0"/>
          <w:bottom w:val="single" w:color="999999" w:sz="2" w:space="0"/>
          <w:right w:val="single" w:color="999999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0"/>
        <w:gridCol w:w="2435"/>
      </w:tblGrid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3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Times New Roman" w:hAnsi="宋体" w:cs="Times New Roman"/>
                <w:b/>
                <w:sz w:val="24"/>
              </w:rPr>
            </w:pPr>
            <w:r>
              <w:rPr>
                <w:rFonts w:ascii="Times New Roman" w:hAnsi="宋体" w:cs="Times New Roman"/>
                <w:b/>
                <w:sz w:val="24"/>
              </w:rPr>
              <w:t>类 别</w:t>
            </w:r>
          </w:p>
        </w:tc>
        <w:tc>
          <w:tcPr>
            <w:tcW w:w="24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Times New Roman" w:hAnsi="宋体" w:cs="Times New Roman"/>
                <w:b/>
                <w:sz w:val="24"/>
              </w:rPr>
            </w:pPr>
            <w:r>
              <w:rPr>
                <w:rFonts w:ascii="Times New Roman" w:hAnsi="宋体" w:cs="Times New Roman"/>
                <w:b/>
                <w:sz w:val="24"/>
              </w:rPr>
              <w:t>指  数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5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居民消费价格指数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101.3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800" w:firstLineChars="400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 城市</w:t>
            </w: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101.4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</w:tblPrEx>
        <w:trPr>
          <w:trHeight w:val="255" w:hRule="exac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814" w:firstLineChars="407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 农村</w:t>
            </w: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101.3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一、食品烟酒</w:t>
            </w: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101.1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#粮    食</w:t>
            </w: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100.2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鲜    菜</w:t>
            </w: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lang w:val="e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"/>
              </w:rPr>
              <w:t>113.</w:t>
            </w: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</w:tblPrEx>
        <w:trPr>
          <w:trHeight w:val="255" w:hRule="exac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1000" w:firstLineChars="500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畜    肉</w:t>
            </w: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86.1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1014" w:firstLineChars="507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水 产 品</w:t>
            </w: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111.1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1014" w:firstLineChars="507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蛋</w:t>
            </w: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119.0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1014" w:firstLineChars="507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鲜    果</w:t>
            </w: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105.4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</w:tblPrEx>
        <w:trPr>
          <w:trHeight w:val="255" w:hRule="exac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二、衣着</w:t>
            </w: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100.6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三、居住</w:t>
            </w: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lang w:val="e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"/>
              </w:rPr>
              <w:t>100.</w:t>
            </w: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四、生活用品及服务</w:t>
            </w: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100.0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五、交通和通信</w:t>
            </w: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102.9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</w:tblPrEx>
        <w:trPr>
          <w:trHeight w:val="255" w:hRule="exac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六、教育文化和娱乐</w:t>
            </w: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103.1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七、医疗保健</w:t>
            </w: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102.0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5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八、其他用品和服务</w:t>
            </w: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99.5</w:t>
            </w:r>
          </w:p>
        </w:tc>
      </w:tr>
    </w:tbl>
    <w:p>
      <w:pPr>
        <w:spacing w:line="560" w:lineRule="exact"/>
        <w:ind w:firstLine="480" w:firstLineChars="200"/>
        <w:rPr>
          <w:rFonts w:ascii="宋体" w:hAnsi="宋体" w:cs="宋体"/>
          <w:color w:val="FF0000"/>
          <w:kern w:val="1"/>
          <w:sz w:val="24"/>
        </w:rPr>
      </w:pPr>
      <w:r>
        <w:rPr>
          <w:rFonts w:ascii="宋体" w:hAnsi="宋体" w:cs="宋体"/>
          <w:kern w:val="1"/>
          <w:sz w:val="24"/>
        </w:rPr>
        <w:t>全年全市城镇新增就业</w:t>
      </w:r>
      <w:r>
        <w:rPr>
          <w:rFonts w:hint="eastAsia" w:ascii="宋体" w:hAnsi="宋体" w:cs="宋体"/>
          <w:kern w:val="1"/>
          <w:sz w:val="24"/>
        </w:rPr>
        <w:t>6.48</w:t>
      </w:r>
      <w:r>
        <w:rPr>
          <w:rFonts w:ascii="宋体" w:hAnsi="宋体" w:cs="宋体"/>
          <w:kern w:val="1"/>
          <w:sz w:val="24"/>
        </w:rPr>
        <w:t>万人，失业人员实现再就业</w:t>
      </w:r>
      <w:r>
        <w:rPr>
          <w:rFonts w:hint="eastAsia" w:ascii="宋体" w:hAnsi="宋体" w:cs="宋体"/>
          <w:kern w:val="1"/>
          <w:sz w:val="24"/>
        </w:rPr>
        <w:t>2.46</w:t>
      </w:r>
      <w:r>
        <w:rPr>
          <w:rFonts w:ascii="宋体" w:hAnsi="宋体" w:cs="宋体"/>
          <w:kern w:val="1"/>
          <w:sz w:val="24"/>
        </w:rPr>
        <w:t>万人，就业困难人员再就业</w:t>
      </w:r>
      <w:r>
        <w:rPr>
          <w:rFonts w:hint="eastAsia" w:ascii="宋体" w:hAnsi="宋体" w:cs="宋体"/>
          <w:kern w:val="1"/>
          <w:sz w:val="24"/>
        </w:rPr>
        <w:t>7655</w:t>
      </w:r>
      <w:r>
        <w:rPr>
          <w:rFonts w:ascii="宋体" w:hAnsi="宋体" w:cs="宋体"/>
          <w:kern w:val="1"/>
          <w:sz w:val="24"/>
        </w:rPr>
        <w:t>人，年末城镇登记失业率</w:t>
      </w:r>
      <w:r>
        <w:rPr>
          <w:rFonts w:hint="eastAsia" w:ascii="宋体" w:hAnsi="宋体" w:cs="宋体"/>
          <w:kern w:val="1"/>
          <w:sz w:val="24"/>
        </w:rPr>
        <w:t>3.27%</w:t>
      </w:r>
      <w:r>
        <w:rPr>
          <w:rFonts w:ascii="宋体" w:hAnsi="宋体" w:cs="宋体"/>
          <w:kern w:val="1"/>
          <w:sz w:val="24"/>
        </w:rPr>
        <w:t>。</w:t>
      </w:r>
    </w:p>
    <w:p>
      <w:pPr>
        <w:pStyle w:val="17"/>
        <w:widowControl/>
        <w:spacing w:before="240" w:beforeAutospacing="0" w:after="240" w:afterAutospacing="0" w:line="360" w:lineRule="auto"/>
        <w:jc w:val="center"/>
        <w:rPr>
          <w:rFonts w:ascii="Times New Roman" w:hAnsi="宋体"/>
        </w:rPr>
      </w:pPr>
      <w:r>
        <w:rPr>
          <w:rFonts w:hint="eastAsia" w:ascii="Times New Roman" w:hAnsi="宋体"/>
          <w:b/>
          <w:sz w:val="28"/>
          <w:szCs w:val="28"/>
        </w:rPr>
        <w:t>二、</w:t>
      </w:r>
      <w:r>
        <w:rPr>
          <w:rFonts w:ascii="Times New Roman" w:hAnsi="宋体"/>
          <w:b/>
          <w:sz w:val="28"/>
          <w:szCs w:val="28"/>
        </w:rPr>
        <w:t>农</w:t>
      </w:r>
      <w:r>
        <w:rPr>
          <w:rFonts w:ascii="Times New Roman" w:hAnsi="Times New Roman"/>
          <w:b/>
          <w:sz w:val="28"/>
          <w:szCs w:val="28"/>
        </w:rPr>
        <w:t>  </w:t>
      </w:r>
      <w:r>
        <w:rPr>
          <w:rFonts w:ascii="Times New Roman" w:hAnsi="宋体"/>
          <w:b/>
          <w:sz w:val="28"/>
          <w:szCs w:val="28"/>
        </w:rPr>
        <w:t>业</w:t>
      </w:r>
    </w:p>
    <w:p>
      <w:pPr>
        <w:pStyle w:val="17"/>
        <w:widowControl/>
        <w:spacing w:beforeAutospacing="0" w:afterAutospacing="0" w:line="560" w:lineRule="exact"/>
        <w:ind w:firstLine="480" w:firstLineChars="200"/>
        <w:jc w:val="both"/>
        <w:rPr>
          <w:rFonts w:ascii="Times New Roman" w:hAnsi="宋体"/>
        </w:rPr>
      </w:pPr>
      <w:r>
        <w:rPr>
          <w:rFonts w:hint="eastAsia" w:ascii="Times New Roman" w:hAnsi="宋体"/>
        </w:rPr>
        <w:t>全年全市农林牧渔业总产值1215.15亿元，同比增长7.5%。其中，农业总产值792.50亿元，林业总产值4.79亿元，畜牧业总产值328.06亿元，渔业总产值5.62亿元，农林牧渔服务业总产值84.18亿元。</w:t>
      </w:r>
    </w:p>
    <w:p>
      <w:pPr>
        <w:pStyle w:val="17"/>
        <w:widowControl/>
        <w:spacing w:beforeAutospacing="0" w:afterAutospacing="0" w:line="560" w:lineRule="exact"/>
        <w:ind w:firstLine="480" w:firstLineChars="200"/>
        <w:jc w:val="both"/>
        <w:rPr>
          <w:rFonts w:ascii="Times New Roman" w:hAnsi="宋体"/>
        </w:rPr>
      </w:pPr>
      <w:r>
        <w:rPr>
          <w:rFonts w:hint="eastAsia" w:ascii="Times New Roman" w:hAnsi="宋体"/>
        </w:rPr>
        <w:t>全年全市粮食播种面积2064.88万亩，总产量</w:t>
      </w:r>
      <w:r>
        <w:rPr>
          <w:rFonts w:hint="eastAsia" w:ascii="Times New Roman" w:hAnsi="宋体"/>
          <w:lang w:val="en"/>
        </w:rPr>
        <w:t>9</w:t>
      </w:r>
      <w:r>
        <w:rPr>
          <w:rFonts w:hint="eastAsia" w:ascii="Times New Roman" w:hAnsi="宋体"/>
        </w:rPr>
        <w:t xml:space="preserve">23.72万吨，减产1.1%。其中，夏粮播种面积1101.99万亩，总产量554.05万吨，增产1.1%；秋粮播种面积962.89万亩，总产量369.65万吨，减产4.2%。 </w:t>
      </w:r>
    </w:p>
    <w:p>
      <w:pPr>
        <w:pStyle w:val="17"/>
        <w:widowControl/>
        <w:spacing w:beforeAutospacing="0" w:after="150" w:afterAutospacing="0" w:line="615" w:lineRule="atLeast"/>
        <w:ind w:firstLine="481" w:firstLineChars="200"/>
        <w:jc w:val="center"/>
        <w:rPr>
          <w:rFonts w:ascii="Times New Roman" w:hAnsi="Times New Roman"/>
          <w:b/>
          <w:bCs/>
          <w:szCs w:val="22"/>
        </w:rPr>
      </w:pPr>
      <w:r>
        <w:rPr>
          <w:rFonts w:hint="eastAsia" w:ascii="Times New Roman" w:hAnsi="Times New Roman"/>
          <w:b/>
          <w:bCs/>
          <w:szCs w:val="22"/>
        </w:rPr>
        <w:t>图2  2017-2021年周口市粮食总产量</w:t>
      </w:r>
    </w:p>
    <w:p>
      <w:pPr>
        <w:pStyle w:val="17"/>
        <w:widowControl/>
        <w:spacing w:beforeAutospacing="0" w:after="150" w:afterAutospacing="0" w:line="645" w:lineRule="atLeast"/>
        <w:jc w:val="center"/>
        <w:rPr>
          <w:rFonts w:ascii="Times New Roman" w:hAnsi="宋体"/>
        </w:rPr>
      </w:pPr>
      <w:r>
        <w:drawing>
          <wp:inline distT="0" distB="0" distL="114300" distR="114300">
            <wp:extent cx="4669790" cy="2860040"/>
            <wp:effectExtent l="0" t="0" r="16510" b="16510"/>
            <wp:docPr id="6" name="周口市地区生产总值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80" w:lineRule="auto"/>
        <w:jc w:val="center"/>
        <w:rPr>
          <w:rFonts w:ascii="Times New Roman" w:hAnsi="Times New Roman" w:cs="Times New Roman"/>
          <w:b/>
          <w:kern w:val="1"/>
          <w:sz w:val="24"/>
        </w:rPr>
      </w:pPr>
      <w:r>
        <w:rPr>
          <w:rFonts w:ascii="Times New Roman" w:hAnsi="宋体" w:cs="Times New Roman"/>
          <w:b/>
          <w:kern w:val="1"/>
          <w:sz w:val="24"/>
        </w:rPr>
        <w:t>表</w:t>
      </w:r>
      <w:r>
        <w:rPr>
          <w:rFonts w:ascii="Times New Roman" w:hAnsi="Times New Roman" w:cs="Times New Roman"/>
          <w:b/>
          <w:kern w:val="1"/>
          <w:sz w:val="24"/>
        </w:rPr>
        <w:t>2</w:t>
      </w:r>
      <w:r>
        <w:rPr>
          <w:rFonts w:hint="eastAsia" w:ascii="Times New Roman" w:hAnsi="Times New Roman" w:cs="Times New Roman"/>
          <w:b/>
          <w:kern w:val="1"/>
          <w:sz w:val="24"/>
        </w:rPr>
        <w:t xml:space="preserve">  </w:t>
      </w:r>
      <w:r>
        <w:rPr>
          <w:rFonts w:ascii="Times New Roman" w:hAnsi="Times New Roman" w:cs="Times New Roman"/>
          <w:b/>
          <w:kern w:val="1"/>
          <w:sz w:val="24"/>
        </w:rPr>
        <w:t>20</w:t>
      </w:r>
      <w:r>
        <w:rPr>
          <w:rFonts w:ascii="Times New Roman" w:hAnsi="Times New Roman" w:cs="Times New Roman"/>
          <w:b/>
          <w:kern w:val="1"/>
          <w:sz w:val="24"/>
          <w:lang w:val="en"/>
        </w:rPr>
        <w:t>2</w:t>
      </w:r>
      <w:r>
        <w:rPr>
          <w:rFonts w:hint="eastAsia" w:ascii="Times New Roman" w:hAnsi="Times New Roman" w:cs="Times New Roman"/>
          <w:b/>
          <w:kern w:val="1"/>
          <w:sz w:val="24"/>
        </w:rPr>
        <w:t>1</w:t>
      </w:r>
      <w:r>
        <w:rPr>
          <w:rFonts w:ascii="Times New Roman" w:hAnsi="宋体" w:cs="Times New Roman"/>
          <w:b/>
          <w:kern w:val="1"/>
          <w:sz w:val="24"/>
        </w:rPr>
        <w:t>年</w:t>
      </w:r>
      <w:r>
        <w:rPr>
          <w:rFonts w:hint="eastAsia" w:ascii="Times New Roman" w:hAnsi="宋体" w:cs="Times New Roman"/>
          <w:b/>
          <w:kern w:val="1"/>
          <w:sz w:val="24"/>
        </w:rPr>
        <w:t>粮食</w:t>
      </w:r>
      <w:r>
        <w:rPr>
          <w:rFonts w:ascii="Times New Roman" w:hAnsi="宋体" w:cs="Times New Roman"/>
          <w:b/>
          <w:kern w:val="1"/>
          <w:sz w:val="24"/>
        </w:rPr>
        <w:t>产量</w:t>
      </w:r>
    </w:p>
    <w:tbl>
      <w:tblPr>
        <w:tblStyle w:val="9"/>
        <w:tblW w:w="7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2715"/>
        <w:gridCol w:w="2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3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宋体" w:cs="Times New Roman"/>
                <w:b/>
                <w:sz w:val="24"/>
              </w:rPr>
              <w:t>产品名称</w:t>
            </w:r>
          </w:p>
        </w:tc>
        <w:tc>
          <w:tcPr>
            <w:tcW w:w="27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宋体" w:cs="Times New Roman"/>
                <w:b/>
                <w:sz w:val="24"/>
              </w:rPr>
              <w:t>产量（万吨）</w:t>
            </w:r>
          </w:p>
        </w:tc>
        <w:tc>
          <w:tcPr>
            <w:tcW w:w="28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宋体" w:cs="Times New Roman"/>
                <w:b/>
                <w:sz w:val="24"/>
              </w:rPr>
              <w:t>比上年增长（</w:t>
            </w: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  <w:r>
              <w:rPr>
                <w:rFonts w:ascii="Times New Roman" w:hAnsi="宋体" w:cs="Times New Roman"/>
                <w:b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粮食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923.72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-1.1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814" w:firstLineChars="407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夏粮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554.05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814" w:firstLineChars="407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秋粮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369.65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-4.2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814" w:firstLineChars="407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谷物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895.90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-0.5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1014" w:firstLineChars="507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玉米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341.25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-3.1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360" w:type="dxa"/>
            <w:tcBorders>
              <w:top w:val="nil"/>
              <w:left w:val="nil"/>
              <w:bottom w:val="single" w:color="000000" w:sz="12" w:space="0"/>
              <w:right w:val="single" w:color="auto" w:sz="4" w:space="0"/>
            </w:tcBorders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814" w:firstLineChars="407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豆类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16.02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single" w:color="000000" w:sz="12" w:space="0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-18.5</w:t>
            </w:r>
          </w:p>
        </w:tc>
      </w:tr>
    </w:tbl>
    <w:p>
      <w:pPr>
        <w:pStyle w:val="17"/>
        <w:widowControl/>
        <w:spacing w:beforeAutospacing="0" w:afterAutospacing="0" w:line="560" w:lineRule="exact"/>
        <w:ind w:firstLine="480" w:firstLineChars="200"/>
        <w:jc w:val="both"/>
        <w:rPr>
          <w:rFonts w:ascii="Times New Roman" w:hAnsi="宋体"/>
          <w:color w:val="auto"/>
        </w:rPr>
      </w:pPr>
      <w:r>
        <w:rPr>
          <w:rFonts w:hint="eastAsia" w:ascii="Times New Roman" w:hAnsi="宋体"/>
          <w:color w:val="auto"/>
        </w:rPr>
        <w:t>全年全市油料产量47.20万吨，比上年增长2.0%，其中花生产量42.08万吨，增长2.1%。蔬菜</w:t>
      </w:r>
      <w:r>
        <w:rPr>
          <w:rFonts w:hint="eastAsia" w:ascii="Times New Roman" w:hAnsi="宋体"/>
          <w:color w:val="auto"/>
          <w:lang w:eastAsia="zh-CN"/>
        </w:rPr>
        <w:t>及</w:t>
      </w:r>
      <w:r>
        <w:rPr>
          <w:rFonts w:hint="eastAsia" w:ascii="Times New Roman" w:hAnsi="宋体"/>
          <w:color w:val="auto"/>
        </w:rPr>
        <w:t>食用菌产量1092.07万吨，增产0.4%。瓜果产量340.36万吨，减产14.1%。</w:t>
      </w:r>
    </w:p>
    <w:p>
      <w:pPr>
        <w:pStyle w:val="17"/>
        <w:widowControl/>
        <w:spacing w:beforeAutospacing="0" w:afterAutospacing="0" w:line="560" w:lineRule="exact"/>
        <w:ind w:firstLine="480" w:firstLineChars="200"/>
        <w:jc w:val="both"/>
        <w:rPr>
          <w:rFonts w:ascii="Times New Roman" w:hAnsi="宋体"/>
          <w:color w:val="auto"/>
        </w:rPr>
      </w:pPr>
      <w:r>
        <w:rPr>
          <w:rFonts w:hint="eastAsia" w:ascii="Times New Roman" w:hAnsi="宋体"/>
          <w:color w:val="auto"/>
        </w:rPr>
        <w:t>全年全市猪牛羊禽肉产量77.20万吨，增长18.5%。其中，猪肉产量51.83万吨，增长32.2%；牛肉产量2.50万吨，下降1.4%；羊肉产量4.15万吨，增长0.8%；禽肉产量18.71万吨，下降2.9%。禽蛋产量50.18万吨，增长0.4%。牛奶产量3.85万吨，增长5.6%。全年生猪出栏713.82万头，增长34.9%</w:t>
      </w:r>
      <w:r>
        <w:rPr>
          <w:rFonts w:hint="eastAsia" w:ascii="Times New Roman" w:hAnsi="宋体"/>
          <w:color w:val="auto"/>
          <w:lang w:eastAsia="zh-CN"/>
        </w:rPr>
        <w:t>；</w:t>
      </w:r>
      <w:r>
        <w:rPr>
          <w:rFonts w:hint="eastAsia" w:ascii="Times New Roman" w:hAnsi="宋体"/>
          <w:color w:val="auto"/>
        </w:rPr>
        <w:t>年末全市生猪存栏549.90万头，增长11.5%。</w:t>
      </w:r>
    </w:p>
    <w:p>
      <w:pPr>
        <w:pStyle w:val="17"/>
        <w:widowControl/>
        <w:spacing w:beforeAutospacing="0" w:afterAutospacing="0" w:line="560" w:lineRule="exact"/>
        <w:ind w:firstLine="480" w:firstLineChars="200"/>
        <w:jc w:val="both"/>
        <w:rPr>
          <w:rFonts w:ascii="Times New Roman" w:hAnsi="宋体"/>
        </w:rPr>
      </w:pPr>
      <w:r>
        <w:rPr>
          <w:rFonts w:hint="eastAsia" w:ascii="Times New Roman" w:hAnsi="宋体"/>
        </w:rPr>
        <w:t>全年全市农用化肥施用量（折纯）86.75万吨，农用塑料薄膜使用量2.02万吨，农村用电量22.22亿千瓦时。完成造林11.87万亩。</w:t>
      </w:r>
    </w:p>
    <w:p>
      <w:pPr>
        <w:spacing w:line="560" w:lineRule="exact"/>
        <w:ind w:firstLine="480" w:firstLineChars="200"/>
        <w:rPr>
          <w:rFonts w:ascii="Times New Roman" w:hAnsi="宋体" w:cs="Times New Roman"/>
          <w:kern w:val="0"/>
          <w:sz w:val="24"/>
        </w:rPr>
      </w:pPr>
      <w:r>
        <w:rPr>
          <w:rFonts w:hint="eastAsia" w:ascii="Times New Roman" w:hAnsi="宋体" w:cs="Times New Roman"/>
          <w:kern w:val="0"/>
          <w:sz w:val="24"/>
        </w:rPr>
        <w:t>截至2021年底，全市有效期内绿色食品183个，地理标志农产品8个，全国名特优新农产品13个，已创建全国绿色食品原料标准化生产基地2个，正在创建全国绿色食品原料标准化生产基地2个，国家级农产品品牌1个，省级区域公用品牌7个，省级农业企业品牌10个，省级农产品品牌43个。</w:t>
      </w:r>
    </w:p>
    <w:p>
      <w:pPr>
        <w:widowControl/>
        <w:spacing w:before="312" w:beforeLines="100" w:after="312" w:afterLines="100" w:line="48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宋体" w:cs="Times New Roman"/>
          <w:b/>
          <w:bCs/>
          <w:sz w:val="28"/>
          <w:szCs w:val="28"/>
        </w:rPr>
        <w:t>三、工业和建筑业</w:t>
      </w:r>
    </w:p>
    <w:p>
      <w:pPr>
        <w:spacing w:line="560" w:lineRule="exact"/>
        <w:ind w:firstLine="480" w:firstLineChars="200"/>
        <w:rPr>
          <w:rFonts w:ascii="Times New Roman" w:hAnsi="宋体" w:cs="Times New Roman"/>
          <w:kern w:val="0"/>
          <w:sz w:val="24"/>
        </w:rPr>
      </w:pPr>
      <w:r>
        <w:rPr>
          <w:rFonts w:hint="eastAsia" w:ascii="Times New Roman" w:hAnsi="宋体" w:cs="Times New Roman"/>
          <w:kern w:val="0"/>
          <w:sz w:val="24"/>
        </w:rPr>
        <w:t>全年全市规模以上工业增加值比上年增长7.8%。在规模以上工业中，重工业增加值增长8.6%，轻工业增加值增长7.2%。六大支柱产业增长7.9%，其中，食品制造业增长11.3%，纺织服饰业增长5.5%，医药化工业增长6.2%，装备制造业增长5.0%，电子信息业下降28.7%，新型建材业增长18.8%。分行业看，全市34个行业大类中，有24个行业同比增长，增长面70.6%。分产品看，全市143种产品中，有85种产品同比增长，增长面59.4%。</w:t>
      </w:r>
    </w:p>
    <w:p>
      <w:pPr>
        <w:spacing w:line="560" w:lineRule="exact"/>
        <w:ind w:firstLine="480" w:firstLineChars="200"/>
        <w:rPr>
          <w:rFonts w:ascii="Times New Roman" w:hAnsi="宋体" w:cs="Times New Roman"/>
          <w:kern w:val="0"/>
          <w:sz w:val="24"/>
        </w:rPr>
      </w:pPr>
      <w:r>
        <w:rPr>
          <w:rFonts w:hint="eastAsia" w:ascii="Times New Roman" w:hAnsi="宋体" w:cs="Times New Roman"/>
          <w:kern w:val="0"/>
          <w:sz w:val="24"/>
        </w:rPr>
        <w:t>全年全市战略性新兴产业、高成长性制造业、高新技术产业分别增长12.7%、8.5%、8.1%，分别高于规上工业增加值增速4.9个、0.7个、0.3个百分点。</w:t>
      </w:r>
    </w:p>
    <w:p>
      <w:pPr>
        <w:spacing w:line="600" w:lineRule="exact"/>
        <w:jc w:val="center"/>
        <w:rPr>
          <w:rFonts w:hint="eastAsia" w:eastAsia="宋体"/>
          <w:lang w:eastAsia="zh-CN"/>
        </w:rPr>
      </w:pPr>
      <w:r>
        <w:rPr>
          <w:rFonts w:ascii="Times New Roman" w:hAnsi="宋体" w:cs="Times New Roman"/>
          <w:b/>
          <w:kern w:val="1"/>
          <w:sz w:val="24"/>
        </w:rPr>
        <w:t>表</w:t>
      </w:r>
      <w:r>
        <w:rPr>
          <w:rFonts w:hint="eastAsia" w:ascii="Times New Roman" w:hAnsi="宋体" w:cs="Times New Roman"/>
          <w:b/>
          <w:kern w:val="1"/>
          <w:sz w:val="24"/>
        </w:rPr>
        <w:t xml:space="preserve">3  </w:t>
      </w:r>
      <w:r>
        <w:rPr>
          <w:rFonts w:ascii="Times New Roman" w:hAnsi="宋体" w:cs="Times New Roman"/>
          <w:b/>
          <w:kern w:val="1"/>
          <w:sz w:val="24"/>
        </w:rPr>
        <w:t>20</w:t>
      </w:r>
      <w:r>
        <w:rPr>
          <w:rFonts w:hint="eastAsia" w:ascii="Times New Roman" w:hAnsi="宋体" w:cs="Times New Roman"/>
          <w:b/>
          <w:kern w:val="1"/>
          <w:sz w:val="24"/>
        </w:rPr>
        <w:t>21</w:t>
      </w:r>
      <w:r>
        <w:rPr>
          <w:rFonts w:ascii="Times New Roman" w:hAnsi="宋体" w:cs="Times New Roman"/>
          <w:b/>
          <w:kern w:val="1"/>
          <w:sz w:val="24"/>
        </w:rPr>
        <w:t>年规模以上工业增加值</w:t>
      </w:r>
      <w:r>
        <w:rPr>
          <w:rFonts w:hint="eastAsia" w:ascii="Times New Roman" w:hAnsi="宋体" w:cs="Times New Roman"/>
          <w:b/>
          <w:color w:val="auto"/>
          <w:kern w:val="1"/>
          <w:sz w:val="24"/>
          <w:highlight w:val="none"/>
          <w:lang w:eastAsia="zh-CN"/>
        </w:rPr>
        <w:t>增速</w:t>
      </w:r>
    </w:p>
    <w:tbl>
      <w:tblPr>
        <w:tblStyle w:val="9"/>
        <w:tblW w:w="85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9"/>
        <w:gridCol w:w="3990"/>
      </w:tblGrid>
      <w:tr>
        <w:trPr>
          <w:trHeight w:val="462" w:hRule="atLeast"/>
        </w:trPr>
        <w:tc>
          <w:tcPr>
            <w:tcW w:w="4569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481" w:firstLineChars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b/>
                <w:bCs/>
                <w:sz w:val="24"/>
              </w:rPr>
              <w:t>指标</w:t>
            </w:r>
          </w:p>
        </w:tc>
        <w:tc>
          <w:tcPr>
            <w:tcW w:w="399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ind w:firstLine="481" w:firstLineChars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b/>
                <w:bCs/>
                <w:sz w:val="24"/>
              </w:rPr>
              <w:t>比上年增长（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%</w:t>
            </w:r>
            <w:r>
              <w:rPr>
                <w:rFonts w:ascii="Times New Roman" w:hAnsi="宋体" w:cs="Times New Roman"/>
                <w:b/>
                <w:bCs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5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规模以上工业增加值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5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# 轻工业</w:t>
            </w: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7.2</w:t>
            </w:r>
          </w:p>
        </w:tc>
      </w:tr>
      <w:tr>
        <w:trPr>
          <w:trHeight w:val="369" w:hRule="exact"/>
        </w:trPr>
        <w:tc>
          <w:tcPr>
            <w:tcW w:w="45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重工业</w:t>
            </w: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8.6</w:t>
            </w:r>
          </w:p>
        </w:tc>
      </w:tr>
      <w:tr>
        <w:trPr>
          <w:trHeight w:val="369" w:hRule="exact"/>
        </w:trPr>
        <w:tc>
          <w:tcPr>
            <w:tcW w:w="45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在总计中：  国有企业</w:t>
            </w: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5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集体企业</w:t>
            </w: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-6.2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5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股份制企业</w:t>
            </w: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8.7</w:t>
            </w:r>
          </w:p>
        </w:tc>
      </w:tr>
      <w:tr>
        <w:trPr>
          <w:trHeight w:val="369" w:hRule="exact"/>
        </w:trPr>
        <w:tc>
          <w:tcPr>
            <w:tcW w:w="45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外商和港澳台商投资企业</w:t>
            </w: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-6.3</w:t>
            </w:r>
          </w:p>
        </w:tc>
      </w:tr>
      <w:tr>
        <w:trPr>
          <w:trHeight w:val="369" w:hRule="exact"/>
        </w:trPr>
        <w:tc>
          <w:tcPr>
            <w:tcW w:w="45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其他</w:t>
            </w: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5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在总计中：  公有制</w:t>
            </w: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569" w:type="dxa"/>
            <w:tcBorders>
              <w:top w:val="nil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非公有制</w:t>
            </w:r>
          </w:p>
        </w:tc>
        <w:tc>
          <w:tcPr>
            <w:tcW w:w="3990" w:type="dxa"/>
            <w:tcBorders>
              <w:top w:val="nil"/>
              <w:left w:val="single" w:color="auto" w:sz="4" w:space="0"/>
              <w:bottom w:val="single" w:color="000000" w:sz="12" w:space="0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</w:t>
            </w:r>
          </w:p>
        </w:tc>
      </w:tr>
    </w:tbl>
    <w:p>
      <w:pPr>
        <w:widowControl/>
        <w:spacing w:line="600" w:lineRule="exact"/>
        <w:ind w:firstLine="481" w:firstLineChars="2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>
      <w:pPr>
        <w:pStyle w:val="17"/>
        <w:widowControl/>
        <w:spacing w:beforeAutospacing="0" w:after="150" w:afterAutospacing="0" w:line="300" w:lineRule="atLeast"/>
        <w:jc w:val="center"/>
        <w:rPr>
          <w:rStyle w:val="11"/>
          <w:rFonts w:hint="eastAsia" w:ascii="Times New Roman" w:hAnsi="宋体" w:eastAsia="宋体"/>
          <w:lang w:eastAsia="zh-CN"/>
        </w:rPr>
      </w:pPr>
      <w:r>
        <w:rPr>
          <w:rStyle w:val="11"/>
          <w:rFonts w:ascii="Times New Roman" w:hAnsi="宋体"/>
        </w:rPr>
        <w:t>表4</w:t>
      </w:r>
      <w:r>
        <w:rPr>
          <w:rStyle w:val="11"/>
          <w:rFonts w:hint="eastAsia" w:ascii="Times New Roman" w:hAnsi="宋体"/>
        </w:rPr>
        <w:t xml:space="preserve">  </w:t>
      </w:r>
      <w:r>
        <w:rPr>
          <w:rStyle w:val="11"/>
          <w:rFonts w:ascii="Times New Roman" w:hAnsi="宋体"/>
        </w:rPr>
        <w:t>20</w:t>
      </w:r>
      <w:r>
        <w:rPr>
          <w:rStyle w:val="11"/>
          <w:rFonts w:hint="eastAsia" w:ascii="Times New Roman" w:hAnsi="宋体"/>
        </w:rPr>
        <w:t>21</w:t>
      </w:r>
      <w:r>
        <w:rPr>
          <w:rStyle w:val="11"/>
          <w:rFonts w:ascii="Times New Roman" w:hAnsi="宋体"/>
        </w:rPr>
        <w:t>年规模以上工业主要产品产量</w:t>
      </w:r>
      <w:r>
        <w:rPr>
          <w:rStyle w:val="11"/>
          <w:rFonts w:hint="eastAsia" w:ascii="Times New Roman" w:hAnsi="宋体"/>
          <w:color w:val="auto"/>
          <w:highlight w:val="none"/>
          <w:lang w:eastAsia="zh-CN"/>
        </w:rPr>
        <w:t>及增速</w:t>
      </w:r>
    </w:p>
    <w:tbl>
      <w:tblPr>
        <w:tblStyle w:val="9"/>
        <w:tblW w:w="8529" w:type="dxa"/>
        <w:tblInd w:w="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7"/>
        <w:gridCol w:w="1568"/>
        <w:gridCol w:w="1584"/>
        <w:gridCol w:w="2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17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722" w:firstLineChars="300"/>
              <w:rPr>
                <w:rFonts w:ascii="Times New Roman" w:hAnsi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宋体" w:cs="Times New Roman"/>
                <w:b/>
                <w:bCs/>
                <w:sz w:val="24"/>
              </w:rPr>
              <w:t>产品名称</w:t>
            </w:r>
          </w:p>
        </w:tc>
        <w:tc>
          <w:tcPr>
            <w:tcW w:w="15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481" w:firstLineChars="200"/>
              <w:rPr>
                <w:rFonts w:ascii="Times New Roman" w:hAnsi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宋体" w:cs="Times New Roman"/>
                <w:b/>
                <w:bCs/>
                <w:sz w:val="24"/>
              </w:rPr>
              <w:t>单位</w:t>
            </w:r>
          </w:p>
        </w:tc>
        <w:tc>
          <w:tcPr>
            <w:tcW w:w="15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481" w:firstLineChars="200"/>
              <w:rPr>
                <w:rFonts w:ascii="Times New Roman" w:hAnsi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宋体" w:cs="Times New Roman"/>
                <w:b/>
                <w:bCs/>
                <w:sz w:val="24"/>
              </w:rPr>
              <w:t>产  量</w:t>
            </w:r>
          </w:p>
        </w:tc>
        <w:tc>
          <w:tcPr>
            <w:tcW w:w="226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宋体" w:cs="Times New Roman"/>
                <w:b/>
                <w:bCs/>
                <w:sz w:val="24"/>
              </w:rPr>
              <w:t>比上年增长（%）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31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小麦粉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吨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4079065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鲜、冷藏肉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吨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100991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-47.9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饲料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吨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2073519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27.2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速冻食品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吨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161501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精制食用植物油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吨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243669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-32.5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乳制品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吨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12196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味精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吨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211725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36.7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饮料酒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千升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169605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-3.9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饮料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吨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175173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人造板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立方米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648354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-14.2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纱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吨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642875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轻革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平方米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21000014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纸制品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吨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927662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-13.7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jc w:val="both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化学药品原药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吨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1713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37.0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11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中成药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吨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44119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117" w:type="dxa"/>
            <w:tcBorders>
              <w:top w:val="nil"/>
              <w:left w:val="nil"/>
              <w:bottom w:val="single" w:color="000000" w:sz="12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水泥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吨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1279463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single" w:color="000000" w:sz="12" w:space="0"/>
              <w:right w:val="nil"/>
            </w:tcBorders>
            <w:vAlign w:val="center"/>
          </w:tcPr>
          <w:p>
            <w:pPr>
              <w:pStyle w:val="17"/>
              <w:widowControl/>
              <w:spacing w:beforeAutospacing="0" w:after="150" w:afterAutospacing="0" w:line="300" w:lineRule="atLeast"/>
              <w:ind w:firstLine="645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11.5</w:t>
            </w:r>
          </w:p>
        </w:tc>
      </w:tr>
    </w:tbl>
    <w:p>
      <w:pPr>
        <w:spacing w:line="560" w:lineRule="exact"/>
        <w:ind w:firstLine="480" w:firstLineChars="200"/>
        <w:rPr>
          <w:rFonts w:ascii="Times New Roman" w:hAnsi="宋体" w:cs="Times New Roman"/>
          <w:kern w:val="0"/>
          <w:sz w:val="24"/>
          <w:lang w:val="zh-CN"/>
        </w:rPr>
      </w:pPr>
      <w:r>
        <w:rPr>
          <w:rFonts w:hint="eastAsia" w:ascii="Times New Roman" w:hAnsi="宋体" w:cs="Times New Roman"/>
          <w:kern w:val="0"/>
          <w:sz w:val="24"/>
          <w:lang w:val="zh-CN"/>
        </w:rPr>
        <w:t>全年全市规模以上工业企业营业收入比上年增长</w:t>
      </w:r>
      <w:r>
        <w:rPr>
          <w:rFonts w:hint="eastAsia" w:ascii="Times New Roman" w:hAnsi="宋体" w:cs="Times New Roman"/>
          <w:kern w:val="0"/>
          <w:sz w:val="24"/>
        </w:rPr>
        <w:t>8.1</w:t>
      </w:r>
      <w:r>
        <w:rPr>
          <w:rFonts w:hint="eastAsia" w:ascii="Times New Roman" w:hAnsi="宋体" w:cs="Times New Roman"/>
          <w:kern w:val="0"/>
          <w:sz w:val="24"/>
          <w:lang w:val="zh-CN"/>
        </w:rPr>
        <w:t>%，利润总额比上年下降</w:t>
      </w:r>
      <w:r>
        <w:rPr>
          <w:rFonts w:hint="eastAsia" w:ascii="Times New Roman" w:hAnsi="宋体" w:cs="Times New Roman"/>
          <w:kern w:val="0"/>
          <w:sz w:val="24"/>
        </w:rPr>
        <w:t>4.8%。</w:t>
      </w:r>
    </w:p>
    <w:p>
      <w:pPr>
        <w:spacing w:line="560" w:lineRule="exact"/>
        <w:ind w:firstLine="480" w:firstLineChars="200"/>
        <w:rPr>
          <w:rFonts w:ascii="Times New Roman" w:hAnsi="宋体" w:cs="Times New Roman"/>
          <w:kern w:val="0"/>
          <w:sz w:val="24"/>
          <w:lang w:val="zh-CN"/>
        </w:rPr>
      </w:pPr>
      <w:r>
        <w:rPr>
          <w:rFonts w:hint="eastAsia" w:ascii="Times New Roman" w:hAnsi="宋体" w:cs="Times New Roman"/>
          <w:kern w:val="0"/>
          <w:sz w:val="24"/>
          <w:lang w:val="zh-CN"/>
        </w:rPr>
        <w:t>全年全市建筑业增加值</w:t>
      </w:r>
      <w:r>
        <w:rPr>
          <w:rFonts w:hint="eastAsia" w:ascii="Times New Roman" w:hAnsi="宋体" w:cs="Times New Roman"/>
          <w:kern w:val="0"/>
          <w:sz w:val="24"/>
        </w:rPr>
        <w:t>251.17</w:t>
      </w:r>
      <w:r>
        <w:rPr>
          <w:rFonts w:hint="eastAsia" w:ascii="Times New Roman" w:hAnsi="宋体" w:cs="Times New Roman"/>
          <w:kern w:val="0"/>
          <w:sz w:val="24"/>
          <w:lang w:val="zh-CN"/>
        </w:rPr>
        <w:t>亿元，比上年增长</w:t>
      </w:r>
      <w:r>
        <w:rPr>
          <w:rFonts w:hint="eastAsia" w:ascii="Times New Roman" w:hAnsi="宋体" w:cs="Times New Roman"/>
          <w:kern w:val="0"/>
          <w:sz w:val="24"/>
        </w:rPr>
        <w:t>0.8</w:t>
      </w:r>
      <w:r>
        <w:rPr>
          <w:rFonts w:hint="eastAsia" w:ascii="Times New Roman" w:hAnsi="宋体" w:cs="Times New Roman"/>
          <w:kern w:val="0"/>
          <w:sz w:val="24"/>
          <w:lang w:val="zh-CN"/>
        </w:rPr>
        <w:t>%。具有资质等级的总承包和专业承包建筑业企业</w:t>
      </w:r>
      <w:r>
        <w:rPr>
          <w:rFonts w:hint="eastAsia" w:ascii="Times New Roman" w:hAnsi="宋体" w:cs="Times New Roman"/>
          <w:kern w:val="0"/>
          <w:sz w:val="24"/>
        </w:rPr>
        <w:t>519</w:t>
      </w:r>
      <w:r>
        <w:rPr>
          <w:rFonts w:hint="eastAsia" w:ascii="Times New Roman" w:hAnsi="宋体" w:cs="Times New Roman"/>
          <w:kern w:val="0"/>
          <w:sz w:val="24"/>
          <w:lang w:val="zh-CN"/>
        </w:rPr>
        <w:t>家。</w:t>
      </w:r>
    </w:p>
    <w:p>
      <w:pPr>
        <w:widowControl/>
        <w:spacing w:before="312" w:beforeLines="100" w:after="312" w:afterLines="100" w:line="5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bCs/>
          <w:sz w:val="28"/>
          <w:szCs w:val="28"/>
        </w:rPr>
        <w:t>四、固定资产投资</w:t>
      </w:r>
    </w:p>
    <w:p>
      <w:pPr>
        <w:spacing w:line="560" w:lineRule="exact"/>
        <w:ind w:firstLine="480" w:firstLineChars="200"/>
        <w:rPr>
          <w:rFonts w:ascii="Times New Roman" w:hAnsi="宋体" w:cs="Times New Roman"/>
          <w:kern w:val="0"/>
          <w:sz w:val="24"/>
          <w:lang w:val="zh-CN"/>
        </w:rPr>
      </w:pPr>
      <w:r>
        <w:rPr>
          <w:rFonts w:hint="eastAsia" w:ascii="Times New Roman" w:hAnsi="宋体" w:cs="Times New Roman"/>
          <w:kern w:val="0"/>
          <w:sz w:val="24"/>
          <w:lang w:val="zh-CN"/>
        </w:rPr>
        <w:t>全年全市完成固定资产投资（不含农户、下同）比上年增长6.3%。其中，第一产业投资下降20.2%；第二产业投资下降6.9%；第三产业投资增长15.2%。民间投资下降0.8%，工业投资下降6.9%，基础设施投资增长12.2%。</w:t>
      </w:r>
    </w:p>
    <w:p>
      <w:pPr>
        <w:spacing w:line="560" w:lineRule="exact"/>
        <w:ind w:firstLine="480" w:firstLineChars="200"/>
        <w:rPr>
          <w:rFonts w:ascii="Times New Roman" w:hAnsi="宋体" w:cs="Times New Roman"/>
          <w:kern w:val="0"/>
          <w:sz w:val="24"/>
          <w:lang w:val="zh-CN"/>
        </w:rPr>
      </w:pPr>
      <w:r>
        <w:rPr>
          <w:rFonts w:hint="eastAsia" w:ascii="Times New Roman" w:hAnsi="宋体" w:cs="Times New Roman"/>
          <w:kern w:val="0"/>
          <w:sz w:val="24"/>
          <w:lang w:val="zh-CN"/>
        </w:rPr>
        <w:t>全年全市完成房地产开发投资428.15亿元，增长26.2%。其中，住宅投资363.80亿元，增长27.4%。商品房销售面积842.69万平方米，下降1.4%；商品房销售额456.09亿元，增长2.7%。</w:t>
      </w:r>
    </w:p>
    <w:p>
      <w:pPr>
        <w:widowControl/>
        <w:spacing w:before="312" w:beforeLines="100" w:after="312" w:afterLines="100" w:line="560" w:lineRule="exact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>
        <w:rPr>
          <w:rFonts w:ascii="Times New Roman" w:hAnsi="宋体" w:cs="Times New Roman"/>
          <w:b/>
          <w:sz w:val="28"/>
          <w:szCs w:val="28"/>
        </w:rPr>
        <w:t>五、国内贸易和对外经济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宋体" w:cs="Times New Roman"/>
          <w:kern w:val="0"/>
          <w:sz w:val="24"/>
          <w:lang w:val="zh-CN"/>
        </w:rPr>
      </w:pPr>
      <w:r>
        <w:rPr>
          <w:rFonts w:hint="eastAsia" w:ascii="Times New Roman" w:hAnsi="宋体" w:cs="Times New Roman"/>
          <w:kern w:val="0"/>
          <w:sz w:val="24"/>
          <w:lang w:val="zh-CN"/>
        </w:rPr>
        <w:t>全年全市社会消费品零售总额1804.75亿元，比上年增长9.3%。按销售单位所在地分，城镇消费品零售额1491.55亿元，增长9.0%，其中，城区消费品零售额797.24亿元，增长11.4%；乡村消费品零售额313.20亿元，增长11.0%。按行业分，批发业零售额251.96亿元，增长6.9%；零售业零售额1154.37亿元，增长6.3%；住宿业零售额21.67亿元，增长21.2%；餐饮业零售额376.75亿元，增长21.1%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jc w:val="center"/>
        <w:textAlignment w:val="auto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图3  2017-2021年全市社会消费品零售总额及增速</w:t>
      </w:r>
    </w:p>
    <w:p>
      <w:pPr>
        <w:pStyle w:val="17"/>
        <w:widowControl/>
        <w:spacing w:beforeAutospacing="0" w:after="150" w:afterAutospacing="0" w:line="615" w:lineRule="atLeast"/>
        <w:ind w:firstLine="480" w:firstLineChars="200"/>
        <w:jc w:val="center"/>
      </w:pPr>
      <w:r>
        <w:drawing>
          <wp:inline distT="0" distB="0" distL="114300" distR="114300">
            <wp:extent cx="4612005" cy="2783205"/>
            <wp:effectExtent l="0" t="0" r="17145" b="17145"/>
            <wp:docPr id="5" name="周口市地区生产总值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17"/>
        <w:widowControl/>
        <w:spacing w:beforeAutospacing="0" w:afterAutospacing="0" w:line="560" w:lineRule="exact"/>
        <w:ind w:firstLine="480" w:firstLineChars="200"/>
        <w:jc w:val="both"/>
        <w:rPr>
          <w:rFonts w:ascii="Times New Roman" w:hAnsi="Times New Roman"/>
          <w:kern w:val="1"/>
        </w:rPr>
      </w:pPr>
      <w:r>
        <w:rPr>
          <w:rFonts w:hint="eastAsia" w:ascii="Times New Roman" w:hAnsi="Times New Roman"/>
          <w:kern w:val="1"/>
        </w:rPr>
        <w:t>全年全市限额以上单位消费品零售额412.21亿元，增长8.6%。通讯器材类、智能家电和音像器材类、可穿戴智能设备累计增速分别为16.6%、16.2%、18.8%，分别比限额以上单位消费品零售额增速高8.0、7.6、10.2个百分点。汽车类累计增速18.7%，其中，新能源汽车累计增速127.3%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textAlignment w:val="auto"/>
        <w:rPr>
          <w:rFonts w:ascii="Times New Roman" w:hAnsi="Times New Roman"/>
          <w:kern w:val="1"/>
        </w:rPr>
      </w:pPr>
      <w:r>
        <w:rPr>
          <w:rFonts w:hint="eastAsia" w:ascii="Times New Roman" w:hAnsi="Times New Roman"/>
          <w:kern w:val="1"/>
        </w:rPr>
        <w:t>全年全市完成外贸进出口总值102.3亿元，比上年下降4.3%。其中</w:t>
      </w:r>
      <w:r>
        <w:rPr>
          <w:rFonts w:hint="eastAsia" w:ascii="Times New Roman" w:hAnsi="Times New Roman"/>
          <w:color w:val="auto"/>
          <w:kern w:val="1"/>
          <w:highlight w:val="none"/>
          <w:lang w:eastAsia="zh-CN"/>
        </w:rPr>
        <w:t>，</w:t>
      </w:r>
      <w:r>
        <w:rPr>
          <w:rFonts w:hint="eastAsia" w:ascii="Times New Roman" w:hAnsi="Times New Roman"/>
          <w:kern w:val="1"/>
        </w:rPr>
        <w:t>出口87.3亿元，下降0.3%；进口15.0亿元，下降22.7%。全年实际利用外资6.64亿美元，增长5.3%。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宋体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sz w:val="28"/>
          <w:szCs w:val="28"/>
        </w:rPr>
        <w:t>六、交通、邮电和旅游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textAlignment w:val="auto"/>
        <w:rPr>
          <w:rFonts w:ascii="Times New Roman" w:hAnsi="Times New Roman"/>
          <w:kern w:val="1"/>
        </w:rPr>
      </w:pPr>
      <w:r>
        <w:rPr>
          <w:rFonts w:hint="eastAsia" w:ascii="Times New Roman" w:hAnsi="Times New Roman"/>
          <w:kern w:val="1"/>
        </w:rPr>
        <w:t>全年全市货物运输总量2.90亿吨，比上年增长18.8%；货物运输周转量1041.13亿吨/公里，增长23.7%；旅客运输总量3085.30万人，增长37.7%；旅客运输周转量25.85亿人/公里，增长36.5%。全市港口货物吞吐量2915万吨，集装箱吞吐量26946标箱，占全省内河港口货物吞吐量的71.6%。目前，全市已建成规模性港口6个、泊位83个，拥有航运企业18家，从业人员2万人，货运船舶1816艘，总载重吨位120万吨以上。沙颍河周口中心港达到四级内河航道标准，具备常年单船2000吨级、拖船10000吨级的通行能力。</w:t>
      </w:r>
    </w:p>
    <w:p>
      <w:pPr>
        <w:pStyle w:val="17"/>
        <w:widowControl/>
        <w:spacing w:beforeAutospacing="0" w:after="150" w:afterAutospacing="0" w:line="300" w:lineRule="atLeast"/>
        <w:jc w:val="center"/>
        <w:rPr>
          <w:rStyle w:val="11"/>
          <w:rFonts w:ascii="Times New Roman" w:hAnsi="宋体"/>
        </w:rPr>
      </w:pPr>
      <w:r>
        <w:rPr>
          <w:rStyle w:val="11"/>
          <w:rFonts w:ascii="Times New Roman" w:hAnsi="宋体"/>
        </w:rPr>
        <w:t>表</w:t>
      </w:r>
      <w:r>
        <w:rPr>
          <w:rStyle w:val="11"/>
          <w:rFonts w:hint="eastAsia" w:ascii="Times New Roman" w:hAnsi="宋体"/>
        </w:rPr>
        <w:t xml:space="preserve">5  </w:t>
      </w:r>
      <w:r>
        <w:rPr>
          <w:rFonts w:hint="eastAsia" w:ascii="Times New Roman" w:hAnsi="Times New Roman"/>
          <w:b/>
        </w:rPr>
        <w:t>20</w:t>
      </w:r>
      <w:r>
        <w:rPr>
          <w:rFonts w:ascii="Times New Roman" w:hAnsi="Times New Roman"/>
          <w:b/>
          <w:lang w:val="en"/>
        </w:rPr>
        <w:t>2</w:t>
      </w:r>
      <w:r>
        <w:rPr>
          <w:rFonts w:hint="eastAsia" w:ascii="Times New Roman" w:hAnsi="Times New Roman"/>
          <w:b/>
        </w:rPr>
        <w:t>1年交通运输主要指标</w:t>
      </w:r>
      <w:r>
        <w:rPr>
          <w:rFonts w:hint="eastAsia" w:ascii="Times New Roman" w:hAnsi="Times New Roman"/>
          <w:b/>
          <w:color w:val="auto"/>
          <w:highlight w:val="none"/>
        </w:rPr>
        <w:t>及增速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179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2467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1" w:firstLineChars="200"/>
              <w:rPr>
                <w:rFonts w:ascii="Times New Roman" w:hAnsi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宋体" w:cs="Times New Roman"/>
                <w:b/>
                <w:bCs/>
                <w:sz w:val="24"/>
              </w:rPr>
              <w:t>指标</w:t>
            </w:r>
          </w:p>
        </w:tc>
        <w:tc>
          <w:tcPr>
            <w:tcW w:w="1793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1" w:firstLineChars="200"/>
              <w:rPr>
                <w:rFonts w:ascii="Times New Roman" w:hAnsi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宋体" w:cs="Times New Roman"/>
                <w:b/>
                <w:bCs/>
                <w:sz w:val="24"/>
              </w:rPr>
              <w:t>单位</w:t>
            </w:r>
          </w:p>
        </w:tc>
        <w:tc>
          <w:tcPr>
            <w:tcW w:w="2131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1" w:firstLineChars="200"/>
              <w:rPr>
                <w:rFonts w:ascii="Times New Roman" w:hAnsi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宋体" w:cs="Times New Roman"/>
                <w:b/>
                <w:bCs/>
                <w:sz w:val="24"/>
              </w:rPr>
              <w:t>绝对数</w:t>
            </w:r>
          </w:p>
        </w:tc>
        <w:tc>
          <w:tcPr>
            <w:tcW w:w="2131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ind w:firstLine="481" w:firstLineChars="200"/>
              <w:rPr>
                <w:rFonts w:ascii="Times New Roman" w:hAnsi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宋体" w:cs="Times New Roman"/>
                <w:b/>
                <w:bCs/>
                <w:sz w:val="24"/>
              </w:rPr>
              <w:t>增长%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4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货物运输总量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亿吨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2.90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#</w:t>
            </w:r>
            <w:r>
              <w:rPr>
                <w:rStyle w:val="30"/>
                <w:rFonts w:hint="default"/>
                <w:color w:val="auto"/>
                <w:lang w:bidi="ar"/>
              </w:rPr>
              <w:t>铁路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亿吨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0.83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水运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亿吨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0.29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公路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亿吨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1.78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货物运输周转量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亿吨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公里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  <w:lang w:val="e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1041.13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  <w:lang w:val="e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ind w:firstLine="900" w:firstLineChars="450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#</w:t>
            </w:r>
            <w:r>
              <w:rPr>
                <w:rStyle w:val="30"/>
                <w:rFonts w:hint="default"/>
                <w:color w:val="auto"/>
                <w:lang w:bidi="ar"/>
              </w:rPr>
              <w:t>铁路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亿吨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公里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136.95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水运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亿吨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公里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151.41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公路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亿吨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公里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  <w:lang w:val="e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752.78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  <w:lang w:val="e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旅客运输总量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万人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3085.30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#</w:t>
            </w:r>
            <w:r>
              <w:rPr>
                <w:rStyle w:val="30"/>
                <w:rFonts w:hint="default"/>
                <w:color w:val="auto"/>
                <w:lang w:bidi="ar"/>
              </w:rPr>
              <w:t>铁路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万人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113.20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水运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万人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26.10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公路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万人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2946.00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旅客运输周转量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亿人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公里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  <w:lang w:val="e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25.85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  <w:lang w:val="e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#</w:t>
            </w:r>
            <w:r>
              <w:rPr>
                <w:rStyle w:val="30"/>
                <w:rFonts w:hint="default"/>
                <w:color w:val="auto"/>
                <w:lang w:bidi="ar"/>
              </w:rPr>
              <w:t>铁路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亿人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公里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1.85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4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30"/>
                <w:rFonts w:hint="default"/>
                <w:color w:val="auto"/>
                <w:lang w:bidi="ar"/>
              </w:rPr>
              <w:t>水运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亿人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公里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0.01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467" w:type="dxa"/>
            <w:tcBorders>
              <w:top w:val="nil"/>
              <w:left w:val="nil"/>
              <w:bottom w:val="single" w:color="000000" w:sz="12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公路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亿人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公里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  <w:lang w:val="e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23.99</w:t>
            </w:r>
          </w:p>
        </w:tc>
        <w:tc>
          <w:tcPr>
            <w:tcW w:w="2131" w:type="dxa"/>
            <w:tcBorders>
              <w:top w:val="nil"/>
              <w:left w:val="single" w:color="auto" w:sz="4" w:space="0"/>
              <w:bottom w:val="single" w:color="000000" w:sz="12" w:space="0"/>
              <w:right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  <w:lang w:val="e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33.9</w:t>
            </w:r>
          </w:p>
        </w:tc>
      </w:tr>
    </w:tbl>
    <w:p>
      <w:pPr>
        <w:pStyle w:val="17"/>
        <w:widowControl/>
        <w:spacing w:beforeAutospacing="0" w:afterAutospacing="0" w:line="560" w:lineRule="exact"/>
        <w:ind w:firstLine="480" w:firstLineChars="200"/>
        <w:jc w:val="both"/>
        <w:rPr>
          <w:rFonts w:ascii="Times New Roman" w:hAnsi="Times New Roman"/>
          <w:kern w:val="1"/>
        </w:rPr>
      </w:pPr>
      <w:r>
        <w:rPr>
          <w:rFonts w:hint="eastAsia" w:ascii="Times New Roman" w:hAnsi="Times New Roman"/>
          <w:kern w:val="1"/>
        </w:rPr>
        <w:t>全年全市邮政行业业务总量24.29亿元，增长22.1%。电信业务总量68.90亿元，增长32.2%；快递业务总量1.30亿件，增长38.9%；快递业务收入8.26亿元，同比增长36.1%。</w:t>
      </w:r>
    </w:p>
    <w:p>
      <w:pPr>
        <w:pStyle w:val="17"/>
        <w:widowControl/>
        <w:spacing w:beforeAutospacing="0" w:afterAutospacing="0" w:line="560" w:lineRule="exact"/>
        <w:ind w:firstLine="480" w:firstLineChars="200"/>
        <w:jc w:val="both"/>
        <w:rPr>
          <w:rFonts w:ascii="Times New Roman" w:hAnsi="Times New Roman"/>
          <w:kern w:val="1"/>
        </w:rPr>
      </w:pPr>
      <w:r>
        <w:rPr>
          <w:rFonts w:hint="eastAsia" w:ascii="Times New Roman" w:hAnsi="Times New Roman"/>
          <w:kern w:val="1"/>
        </w:rPr>
        <w:t>全年全市共接待海内外游客2647.27万人次。其中</w:t>
      </w:r>
      <w:r>
        <w:rPr>
          <w:rFonts w:hint="eastAsia"/>
          <w:color w:val="auto"/>
          <w:lang w:eastAsia="zh-CN"/>
        </w:rPr>
        <w:t>，</w:t>
      </w:r>
      <w:r>
        <w:rPr>
          <w:rFonts w:hint="eastAsia" w:ascii="Times New Roman" w:hAnsi="Times New Roman"/>
          <w:kern w:val="1"/>
        </w:rPr>
        <w:t>接待国内游客2647.27万人次；受新冠疫情影响，未接待海外游客。旅游综合收入111.75亿元。年末全市共有A级景区30家。其中，4A级景区4家，3A级景区14家，2A级景区12家。旅行社32家。星级饭店7家。</w:t>
      </w:r>
    </w:p>
    <w:p>
      <w:pPr>
        <w:spacing w:before="312" w:beforeLines="100" w:after="312" w:afterLines="100" w:line="5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bCs/>
          <w:sz w:val="28"/>
          <w:szCs w:val="28"/>
        </w:rPr>
        <w:t>七、财政</w:t>
      </w:r>
      <w:r>
        <w:rPr>
          <w:rFonts w:hint="eastAsia" w:ascii="Times New Roman" w:hAnsi="宋体" w:cs="Times New Roman"/>
          <w:b/>
          <w:bCs/>
          <w:sz w:val="28"/>
          <w:szCs w:val="28"/>
        </w:rPr>
        <w:t>和</w:t>
      </w:r>
      <w:r>
        <w:rPr>
          <w:rFonts w:ascii="Times New Roman" w:hAnsi="宋体" w:cs="Times New Roman"/>
          <w:b/>
          <w:bCs/>
          <w:sz w:val="28"/>
          <w:szCs w:val="28"/>
        </w:rPr>
        <w:t>金融</w:t>
      </w:r>
    </w:p>
    <w:p>
      <w:pPr>
        <w:pStyle w:val="17"/>
        <w:widowControl/>
        <w:spacing w:beforeAutospacing="0" w:afterAutospacing="0" w:line="560" w:lineRule="exact"/>
        <w:ind w:firstLine="480" w:firstLineChars="200"/>
        <w:jc w:val="both"/>
        <w:rPr>
          <w:rFonts w:ascii="Times New Roman" w:hAnsi="Times New Roman"/>
          <w:kern w:val="1"/>
        </w:rPr>
      </w:pPr>
      <w:r>
        <w:rPr>
          <w:rFonts w:hint="eastAsia" w:ascii="Times New Roman" w:hAnsi="Times New Roman"/>
          <w:kern w:val="1"/>
        </w:rPr>
        <w:t>全年全市地方财政总收入237.53亿元，同比增长7.9%。一般公共预算收入158.24亿元，增长8.6%。其中，税收收入113.76亿元，增长7.9%。一般公共预算支出676.61亿元，下降1.9%。</w:t>
      </w:r>
    </w:p>
    <w:p>
      <w:pPr>
        <w:pStyle w:val="17"/>
        <w:widowControl/>
        <w:spacing w:beforeAutospacing="0" w:afterAutospacing="0" w:line="560" w:lineRule="exact"/>
        <w:ind w:firstLine="480" w:firstLineChars="200"/>
        <w:jc w:val="both"/>
        <w:rPr>
          <w:rFonts w:ascii="Times New Roman" w:hAnsi="Times New Roman"/>
          <w:kern w:val="1"/>
        </w:rPr>
      </w:pPr>
      <w:r>
        <w:rPr>
          <w:rFonts w:hint="eastAsia" w:ascii="Times New Roman" w:hAnsi="Times New Roman"/>
          <w:kern w:val="1"/>
        </w:rPr>
        <w:t>年末全市金融机构人民币各项存款余额4368.51亿元，比年初增加500.92亿元。其中，住户存款余额3661.09亿元，比年初增加468.20亿元。金融机构人民币各项贷款余额2008.36亿元，比年初增加253.67亿元。</w:t>
      </w:r>
    </w:p>
    <w:p>
      <w:pPr>
        <w:widowControl/>
        <w:spacing w:before="312" w:beforeLines="100" w:after="312" w:afterLines="100" w:line="5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sz w:val="28"/>
          <w:szCs w:val="28"/>
        </w:rPr>
        <w:t>八、教育和科学技术</w:t>
      </w:r>
    </w:p>
    <w:p>
      <w:pPr>
        <w:pStyle w:val="17"/>
        <w:widowControl/>
        <w:spacing w:beforeAutospacing="0" w:afterAutospacing="0" w:line="560" w:lineRule="exact"/>
        <w:ind w:firstLine="480" w:firstLineChars="200"/>
        <w:jc w:val="both"/>
        <w:rPr>
          <w:rFonts w:ascii="Times New Roman" w:hAnsi="Times New Roman"/>
          <w:kern w:val="1"/>
        </w:rPr>
      </w:pPr>
      <w:r>
        <w:rPr>
          <w:rFonts w:hint="eastAsia" w:ascii="Times New Roman" w:hAnsi="Times New Roman"/>
          <w:kern w:val="1"/>
        </w:rPr>
        <w:t>2021年全市各级各类学校4825所，毕业生56.92万人，在校生216.72万人，招生53.37万人，教职工16.75万人。其中</w:t>
      </w:r>
      <w:r>
        <w:rPr>
          <w:rFonts w:hint="eastAsia" w:ascii="Times New Roman" w:hAnsi="Times New Roman"/>
          <w:color w:val="auto"/>
          <w:kern w:val="1"/>
          <w:highlight w:val="none"/>
          <w:lang w:eastAsia="zh-CN"/>
        </w:rPr>
        <w:t>，</w:t>
      </w:r>
      <w:r>
        <w:rPr>
          <w:rFonts w:hint="eastAsia" w:ascii="Times New Roman" w:hAnsi="Times New Roman"/>
          <w:kern w:val="1"/>
        </w:rPr>
        <w:t>高等教育学校4所，毕业生2.04万人，在校生7.37万人，招生2.72万人，教职工0.42万人。中等职业教育学校（含技工）31所，毕业生2.02万人，在校生6.67万人，招生2.64万人，教职工0.42万人。普通高中学校61所，毕业生8.03万人，在校生21.75万人，招生7.28万人，教职工1.89万人。初级中学494所，毕业生14.35万人，在校生43.93万人，招生14.84万人，教职工4.58万人。普通小学学校1813所，毕业生14.9万人，在校生97.34万人，招生15.92万人，教职工6.21万人。幼儿园2412所，毕业生15.54万人，在校生39.08万人，招生9.89万人，教职工3.18万人。特殊教育（含随班就读）10所，毕业生0.04万人，在校生0.58万人，招生0.08万人，教职工0.05万人。民办学校2181所，招生14.81</w:t>
      </w:r>
      <w:bookmarkStart w:id="0" w:name="_GoBack"/>
      <w:bookmarkEnd w:id="0"/>
      <w:r>
        <w:rPr>
          <w:rFonts w:hint="eastAsia" w:ascii="Times New Roman" w:hAnsi="Times New Roman"/>
          <w:kern w:val="1"/>
        </w:rPr>
        <w:t>万人，在校生75.26万人，毕业生22.59万人，教职工6.21万人。</w:t>
      </w:r>
    </w:p>
    <w:p>
      <w:pPr>
        <w:pStyle w:val="17"/>
        <w:widowControl/>
        <w:spacing w:beforeAutospacing="0" w:afterAutospacing="0" w:line="560" w:lineRule="exact"/>
        <w:ind w:firstLine="480" w:firstLineChars="200"/>
        <w:jc w:val="both"/>
        <w:rPr>
          <w:rFonts w:ascii="Times New Roman" w:hAnsi="Times New Roman"/>
          <w:kern w:val="1"/>
          <w:sz w:val="24"/>
        </w:rPr>
      </w:pPr>
      <w:r>
        <w:rPr>
          <w:rFonts w:hint="eastAsia" w:ascii="Times New Roman" w:hAnsi="Times New Roman"/>
          <w:kern w:val="1"/>
        </w:rPr>
        <w:t>截至2021年年底，全市有效专利拥有量1</w:t>
      </w:r>
      <w:r>
        <w:rPr>
          <w:rFonts w:hint="eastAsia" w:ascii="Times New Roman" w:hAnsi="Times New Roman"/>
          <w:kern w:val="1"/>
          <w:lang w:val="en-US" w:eastAsia="zh-CN"/>
        </w:rPr>
        <w:t>1</w:t>
      </w:r>
      <w:r>
        <w:rPr>
          <w:rFonts w:hint="eastAsia" w:ascii="Times New Roman" w:hAnsi="Times New Roman"/>
          <w:kern w:val="1"/>
        </w:rPr>
        <w:t>082件，增长42.13%。</w:t>
      </w:r>
    </w:p>
    <w:p>
      <w:pPr>
        <w:widowControl/>
        <w:spacing w:before="312" w:beforeLines="100" w:after="312" w:afterLines="100" w:line="5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bCs/>
          <w:sz w:val="28"/>
          <w:szCs w:val="28"/>
        </w:rPr>
        <w:t>九、文化、卫生和体育</w:t>
      </w:r>
    </w:p>
    <w:p>
      <w:pPr>
        <w:pStyle w:val="17"/>
        <w:widowControl/>
        <w:spacing w:beforeAutospacing="0" w:afterAutospacing="0" w:line="560" w:lineRule="exact"/>
        <w:ind w:firstLine="480" w:firstLineChars="200"/>
        <w:jc w:val="both"/>
        <w:rPr>
          <w:rFonts w:ascii="Times New Roman" w:hAnsi="Times New Roman"/>
          <w:kern w:val="1"/>
        </w:rPr>
      </w:pPr>
      <w:r>
        <w:rPr>
          <w:rFonts w:hint="eastAsia" w:ascii="Times New Roman" w:hAnsi="Times New Roman"/>
          <w:kern w:val="1"/>
        </w:rPr>
        <w:t>年末全市共有国有院团11家，民营文艺表演团体82家，文化馆12个，博物馆22个，公共图书馆11个。广播电台10座，电视台10座，调频转播台1座。年内新购图书92445册，其中少儿类23524册，成人类68921册。公共文化场馆继续免费开放。</w:t>
      </w:r>
    </w:p>
    <w:p>
      <w:pPr>
        <w:pStyle w:val="17"/>
        <w:widowControl/>
        <w:spacing w:beforeAutospacing="0" w:afterAutospacing="0" w:line="560" w:lineRule="exact"/>
        <w:ind w:firstLine="480" w:firstLineChars="200"/>
        <w:jc w:val="both"/>
        <w:rPr>
          <w:rFonts w:ascii="Times New Roman" w:hAnsi="Times New Roman"/>
          <w:kern w:val="1"/>
        </w:rPr>
      </w:pPr>
      <w:r>
        <w:rPr>
          <w:rFonts w:hint="eastAsia" w:ascii="Times New Roman" w:hAnsi="Times New Roman"/>
          <w:kern w:val="1"/>
        </w:rPr>
        <w:t>年末全市共有全国重点文物保护单位18处，省级重点文物保护单位72处，市级文物保护单位89处，县级文物保护单位450处，不可移动文物3884处，国家级非物质文化遗产10项，省级非物质文化遗产60项。</w:t>
      </w:r>
    </w:p>
    <w:p>
      <w:pPr>
        <w:pStyle w:val="17"/>
        <w:widowControl/>
        <w:spacing w:beforeAutospacing="0" w:afterAutospacing="0" w:line="560" w:lineRule="exact"/>
        <w:ind w:firstLine="480" w:firstLineChars="200"/>
        <w:jc w:val="both"/>
        <w:rPr>
          <w:rFonts w:ascii="Times New Roman" w:hAnsi="Times New Roman"/>
          <w:kern w:val="1"/>
        </w:rPr>
      </w:pPr>
      <w:r>
        <w:rPr>
          <w:rFonts w:hint="eastAsia" w:ascii="Times New Roman" w:hAnsi="Times New Roman"/>
          <w:kern w:val="1"/>
        </w:rPr>
        <w:t>年末全市共有医疗卫生机构7300个（含村卫生室6282个），医院245个，卫生院180个，妇幼保健院（所、站）11个。执业医师和执业助理医师21191人，注册护士21403人。疾病预防控制中心（</w:t>
      </w:r>
      <w:r>
        <w:rPr>
          <w:rFonts w:hint="eastAsia" w:ascii="Times New Roman" w:hAnsi="Times New Roman"/>
          <w:kern w:val="1"/>
          <w:lang w:eastAsia="zh-CN"/>
        </w:rPr>
        <w:t>含</w:t>
      </w:r>
      <w:r>
        <w:rPr>
          <w:rFonts w:hint="eastAsia" w:ascii="Times New Roman" w:hAnsi="Times New Roman"/>
          <w:kern w:val="1"/>
        </w:rPr>
        <w:t>防疫站</w:t>
      </w:r>
      <w:r>
        <w:rPr>
          <w:rFonts w:hint="eastAsia" w:ascii="Times New Roman" w:hAnsi="Times New Roman"/>
          <w:kern w:val="1"/>
          <w:lang w:val="en-US" w:eastAsia="zh-CN"/>
        </w:rPr>
        <w:t>1个</w:t>
      </w:r>
      <w:r>
        <w:rPr>
          <w:rFonts w:hint="eastAsia" w:ascii="Times New Roman" w:hAnsi="Times New Roman"/>
          <w:kern w:val="1"/>
        </w:rPr>
        <w:t>）1</w:t>
      </w:r>
      <w:r>
        <w:rPr>
          <w:rFonts w:hint="eastAsia" w:ascii="Times New Roman" w:hAnsi="Times New Roman"/>
          <w:kern w:val="1"/>
          <w:lang w:val="en-US" w:eastAsia="zh-CN"/>
        </w:rPr>
        <w:t>2</w:t>
      </w:r>
      <w:r>
        <w:rPr>
          <w:rFonts w:hint="eastAsia" w:ascii="Times New Roman" w:hAnsi="Times New Roman"/>
          <w:kern w:val="1"/>
        </w:rPr>
        <w:t>个，卫生监督所11个。乡镇卫生院179个，编制床位41752张，实有床位数55707张，卫生技术人员53290人。三级医院共4家，其中，三级甲等综合医院1家，三级中医院1家；二级医院51家，其中，中医医院9家。</w:t>
      </w:r>
    </w:p>
    <w:p>
      <w:pPr>
        <w:pStyle w:val="17"/>
        <w:widowControl/>
        <w:spacing w:beforeAutospacing="0" w:afterAutospacing="0" w:line="560" w:lineRule="exact"/>
        <w:ind w:firstLine="480" w:firstLineChars="200"/>
        <w:jc w:val="both"/>
        <w:rPr>
          <w:rFonts w:ascii="Times New Roman" w:hAnsi="Times New Roman"/>
          <w:kern w:val="1"/>
        </w:rPr>
      </w:pPr>
      <w:r>
        <w:rPr>
          <w:rFonts w:hint="eastAsia" w:ascii="Times New Roman" w:hAnsi="Times New Roman"/>
          <w:kern w:val="1"/>
        </w:rPr>
        <w:t>2021年全青少年各单项锦标赛中，周口市代表团共夺得 83枚金牌、83枚银牌、97枚铜牌，创历史最好成绩。</w:t>
      </w:r>
    </w:p>
    <w:p>
      <w:pPr>
        <w:widowControl/>
        <w:spacing w:before="312" w:beforeLines="100" w:after="312" w:afterLines="100" w:line="560" w:lineRule="exact"/>
        <w:jc w:val="center"/>
        <w:rPr>
          <w:rFonts w:ascii="Times New Roman" w:hAnsi="宋体" w:cs="Times New Roman"/>
          <w:b/>
          <w:bCs/>
          <w:sz w:val="28"/>
          <w:szCs w:val="28"/>
        </w:rPr>
      </w:pPr>
      <w:r>
        <w:rPr>
          <w:rFonts w:ascii="Times New Roman" w:hAnsi="宋体" w:cs="Times New Roman"/>
          <w:b/>
          <w:bCs/>
          <w:sz w:val="28"/>
          <w:szCs w:val="28"/>
        </w:rPr>
        <w:t>十、人民生活和社会保障</w:t>
      </w:r>
    </w:p>
    <w:p>
      <w:pPr>
        <w:pStyle w:val="17"/>
        <w:widowControl/>
        <w:spacing w:beforeAutospacing="0" w:afterAutospacing="0" w:line="560" w:lineRule="exact"/>
        <w:ind w:firstLine="480" w:firstLineChars="200"/>
        <w:jc w:val="both"/>
        <w:rPr>
          <w:rFonts w:ascii="Times New Roman" w:hAnsi="Times New Roman"/>
          <w:kern w:val="1"/>
        </w:rPr>
      </w:pPr>
      <w:r>
        <w:rPr>
          <w:rFonts w:hint="eastAsia" w:ascii="Times New Roman" w:hAnsi="Times New Roman"/>
          <w:kern w:val="1"/>
        </w:rPr>
        <w:t>全年全市居民人均可支配收入20773元，比上年增长8.5%。按常住地分，城镇居民人均可支配收入30826元，增长6.8%；农村居民人均可支配收入14141元，增长9.2%。</w:t>
      </w:r>
    </w:p>
    <w:p>
      <w:pPr>
        <w:pStyle w:val="17"/>
        <w:widowControl/>
        <w:spacing w:beforeAutospacing="0" w:after="150" w:afterAutospacing="0" w:line="615" w:lineRule="atLeast"/>
        <w:ind w:firstLine="481" w:firstLineChars="200"/>
        <w:jc w:val="center"/>
        <w:rPr>
          <w:rFonts w:ascii="Times New Roman" w:hAnsi="Times New Roman"/>
          <w:b/>
          <w:bCs/>
          <w:szCs w:val="22"/>
        </w:rPr>
      </w:pPr>
      <w:r>
        <w:rPr>
          <w:rFonts w:hint="eastAsia" w:ascii="Times New Roman" w:hAnsi="Times New Roman"/>
          <w:b/>
          <w:bCs/>
          <w:szCs w:val="22"/>
        </w:rPr>
        <w:t>图4  2017-2021年全市居民人均可支配收入及增速</w:t>
      </w:r>
      <w:r>
        <w:drawing>
          <wp:inline distT="0" distB="0" distL="114300" distR="114300">
            <wp:extent cx="4812030" cy="3078480"/>
            <wp:effectExtent l="0" t="0" r="7620" b="7620"/>
            <wp:docPr id="7" name="周口市地区生产总值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17"/>
        <w:widowControl/>
        <w:spacing w:beforeAutospacing="0" w:afterAutospacing="0" w:line="560" w:lineRule="exact"/>
        <w:ind w:firstLine="480" w:firstLineChars="200"/>
        <w:jc w:val="both"/>
        <w:rPr>
          <w:rFonts w:ascii="Times New Roman" w:hAnsi="Times New Roman"/>
          <w:kern w:val="1"/>
        </w:rPr>
      </w:pPr>
      <w:r>
        <w:rPr>
          <w:rFonts w:hint="eastAsia" w:ascii="Times New Roman" w:hAnsi="Times New Roman"/>
          <w:kern w:val="1"/>
        </w:rPr>
        <w:t>截至2021年年末，全市参加城镇职工基本养老保险人数109.27万人。其中，全市企业职工基本养老保险参保80.69万人，参保职工59.78万人，离退休人员20.92万人；机关事业养老保险参保28.58万人，参保在职职工19.05万人，离退休人员9.53万人。参加城乡居民基本养老保险人数540.1万人。全市参加基本医疗保险930.63万人，其中，全市城镇职工医保参保人数52.89万人，全市城乡居民医保参保人数为877.74万人。参加失业保险人数40.57万人。参加工伤保险人数50.23万人。全市城镇职工生育保险参保人数34.04万人。</w:t>
      </w:r>
    </w:p>
    <w:p>
      <w:pPr>
        <w:widowControl/>
        <w:spacing w:before="312" w:beforeLines="100" w:after="312" w:afterLines="100" w:line="560" w:lineRule="exact"/>
        <w:jc w:val="center"/>
        <w:rPr>
          <w:rFonts w:ascii="Times New Roman" w:hAnsi="宋体" w:cs="Times New Roman"/>
          <w:b/>
          <w:bCs/>
          <w:sz w:val="28"/>
          <w:szCs w:val="28"/>
        </w:rPr>
      </w:pPr>
      <w:r>
        <w:rPr>
          <w:rFonts w:ascii="Times New Roman" w:hAnsi="宋体" w:cs="Times New Roman"/>
          <w:b/>
          <w:bCs/>
          <w:sz w:val="28"/>
          <w:szCs w:val="28"/>
        </w:rPr>
        <w:t>十一、环境保护</w:t>
      </w:r>
      <w:r>
        <w:rPr>
          <w:rFonts w:hint="eastAsia" w:ascii="Times New Roman" w:hAnsi="宋体" w:cs="Times New Roman"/>
          <w:b/>
          <w:bCs/>
          <w:sz w:val="28"/>
          <w:szCs w:val="28"/>
        </w:rPr>
        <w:t>和</w:t>
      </w:r>
      <w:r>
        <w:rPr>
          <w:rFonts w:ascii="Times New Roman" w:hAnsi="宋体" w:cs="Times New Roman"/>
          <w:b/>
          <w:bCs/>
          <w:sz w:val="28"/>
          <w:szCs w:val="28"/>
        </w:rPr>
        <w:t>安全生产</w:t>
      </w:r>
    </w:p>
    <w:p>
      <w:pPr>
        <w:spacing w:line="480" w:lineRule="auto"/>
        <w:ind w:firstLine="480" w:firstLineChars="200"/>
        <w:rPr>
          <w:rFonts w:ascii="Times New Roman" w:hAnsi="Times New Roman" w:cs="Times New Roman"/>
          <w:kern w:val="1"/>
          <w:sz w:val="24"/>
        </w:rPr>
      </w:pPr>
      <w:r>
        <w:rPr>
          <w:rFonts w:hint="eastAsia" w:ascii="Times New Roman" w:hAnsi="Times New Roman" w:cs="Times New Roman"/>
          <w:kern w:val="1"/>
          <w:sz w:val="24"/>
        </w:rPr>
        <w:t>全年全市PM2.5平均浓度44微克/立方米，PM10平均浓度71微克/立方米，优良天数275天；全市17个省级以上地表水目标考核断面全部达到目标值要求，累计平均达标率为86.8%；城市集中式饮用水源地水质达到目标值要求，达标率为100%。</w:t>
      </w:r>
    </w:p>
    <w:p>
      <w:pPr>
        <w:spacing w:line="480" w:lineRule="auto"/>
        <w:ind w:firstLine="480" w:firstLineChars="200"/>
        <w:rPr>
          <w:rFonts w:ascii="Times New Roman" w:hAnsi="Times New Roman" w:cs="Times New Roman"/>
          <w:kern w:val="1"/>
          <w:sz w:val="24"/>
        </w:rPr>
      </w:pPr>
      <w:r>
        <w:rPr>
          <w:rFonts w:hint="eastAsia" w:ascii="Times New Roman" w:hAnsi="Times New Roman" w:cs="Times New Roman"/>
          <w:kern w:val="1"/>
          <w:sz w:val="24"/>
        </w:rPr>
        <w:t>安全生产和食品安全形势稳中向好，社会大局保持和谐稳定。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宋体" w:cs="Times New Roman"/>
          <w:kern w:val="1"/>
          <w:sz w:val="24"/>
        </w:rPr>
      </w:pPr>
      <w:r>
        <w:rPr>
          <w:rFonts w:ascii="Times New Roman" w:hAnsi="宋体" w:cs="Times New Roman"/>
          <w:kern w:val="1"/>
          <w:sz w:val="24"/>
        </w:rPr>
        <w:t xml:space="preserve"> </w:t>
      </w:r>
    </w:p>
    <w:p>
      <w:pPr>
        <w:widowControl/>
        <w:spacing w:line="560" w:lineRule="exact"/>
        <w:ind w:firstLine="480" w:firstLineChars="200"/>
        <w:jc w:val="left"/>
        <w:rPr>
          <w:rFonts w:ascii="Times New Roman" w:hAnsi="Times New Roman" w:cs="Times New Roman"/>
          <w:color w:val="333333"/>
          <w:sz w:val="24"/>
        </w:rPr>
      </w:pPr>
      <w:r>
        <w:rPr>
          <w:rFonts w:hint="eastAsia" w:ascii="Times New Roman" w:hAnsi="宋体" w:cs="Times New Roman"/>
          <w:color w:val="333333"/>
          <w:sz w:val="24"/>
        </w:rPr>
        <w:t>注释</w:t>
      </w:r>
      <w:r>
        <w:rPr>
          <w:rFonts w:ascii="Times New Roman" w:hAnsi="宋体" w:cs="Times New Roman"/>
          <w:color w:val="333333"/>
          <w:sz w:val="24"/>
        </w:rPr>
        <w:t>：</w:t>
      </w:r>
    </w:p>
    <w:p>
      <w:pPr>
        <w:spacing w:line="560" w:lineRule="exact"/>
        <w:ind w:firstLine="480" w:firstLineChars="200"/>
        <w:rPr>
          <w:rFonts w:ascii="Times New Roman" w:hAnsi="宋体" w:cs="Times New Roman"/>
          <w:color w:val="000000"/>
          <w:kern w:val="1"/>
          <w:sz w:val="24"/>
        </w:rPr>
      </w:pPr>
      <w:r>
        <w:rPr>
          <w:rFonts w:hint="eastAsia" w:ascii="Times New Roman" w:hAnsi="宋体" w:cs="Times New Roman"/>
          <w:color w:val="000000"/>
          <w:kern w:val="1"/>
          <w:sz w:val="24"/>
        </w:rPr>
        <w:t>[1]</w:t>
      </w:r>
      <w:r>
        <w:rPr>
          <w:rFonts w:ascii="Times New Roman" w:hAnsi="宋体" w:cs="Times New Roman"/>
          <w:color w:val="000000"/>
          <w:kern w:val="1"/>
          <w:sz w:val="24"/>
        </w:rPr>
        <w:t>本公报20</w:t>
      </w:r>
      <w:r>
        <w:rPr>
          <w:rFonts w:hint="eastAsia" w:ascii="Times New Roman" w:hAnsi="宋体" w:cs="Times New Roman"/>
          <w:color w:val="000000"/>
          <w:kern w:val="1"/>
          <w:sz w:val="24"/>
        </w:rPr>
        <w:t>21</w:t>
      </w:r>
      <w:r>
        <w:rPr>
          <w:rFonts w:ascii="Times New Roman" w:hAnsi="宋体" w:cs="Times New Roman"/>
          <w:color w:val="000000"/>
          <w:kern w:val="1"/>
          <w:sz w:val="24"/>
        </w:rPr>
        <w:t>年数据为初步</w:t>
      </w:r>
      <w:r>
        <w:rPr>
          <w:rFonts w:hint="eastAsia" w:ascii="Times New Roman" w:hAnsi="宋体" w:cs="Times New Roman"/>
          <w:color w:val="000000"/>
          <w:kern w:val="1"/>
          <w:sz w:val="24"/>
        </w:rPr>
        <w:t>统计结果</w:t>
      </w:r>
      <w:r>
        <w:rPr>
          <w:rFonts w:ascii="Times New Roman" w:hAnsi="宋体" w:cs="Times New Roman"/>
          <w:color w:val="000000"/>
          <w:kern w:val="1"/>
          <w:sz w:val="24"/>
        </w:rPr>
        <w:t>。部分数据因四舍五入的原因，存在总计与分项合计不等的情况。</w:t>
      </w:r>
    </w:p>
    <w:p>
      <w:pPr>
        <w:pStyle w:val="2"/>
        <w:spacing w:line="560" w:lineRule="exact"/>
        <w:ind w:firstLine="480" w:firstLineChars="200"/>
        <w:rPr>
          <w:rFonts w:hAnsi="宋体"/>
          <w:bCs w:val="0"/>
          <w:color w:val="000000"/>
          <w:kern w:val="1"/>
          <w:sz w:val="24"/>
        </w:rPr>
      </w:pPr>
      <w:r>
        <w:rPr>
          <w:rFonts w:hint="eastAsia" w:hAnsi="宋体"/>
          <w:bCs w:val="0"/>
          <w:color w:val="000000"/>
          <w:kern w:val="1"/>
          <w:sz w:val="24"/>
        </w:rPr>
        <w:t>[2]地区</w:t>
      </w:r>
      <w:r>
        <w:rPr>
          <w:rFonts w:hAnsi="宋体"/>
          <w:bCs w:val="0"/>
          <w:color w:val="000000"/>
          <w:kern w:val="1"/>
          <w:sz w:val="24"/>
        </w:rPr>
        <w:t>生产总值、各产业增加值绝对数按现价计算，增长速度按不变价计算。</w:t>
      </w:r>
      <w:r>
        <w:rPr>
          <w:rFonts w:hint="eastAsia" w:hAnsi="宋体"/>
          <w:color w:val="000000"/>
          <w:kern w:val="1"/>
          <w:sz w:val="24"/>
        </w:rPr>
        <w:t>经最终核实，2020年周口市地区生产总值为3221.80亿元，比上年增长1.3%。</w:t>
      </w:r>
    </w:p>
    <w:p>
      <w:pPr>
        <w:spacing w:line="560" w:lineRule="exact"/>
        <w:ind w:firstLine="480" w:firstLineChars="200"/>
        <w:rPr>
          <w:rFonts w:ascii="Times New Roman" w:hAnsi="宋体" w:cs="Times New Roman"/>
          <w:color w:val="000000"/>
          <w:kern w:val="1"/>
          <w:sz w:val="24"/>
        </w:rPr>
      </w:pPr>
      <w:r>
        <w:rPr>
          <w:rFonts w:hint="eastAsia" w:ascii="Times New Roman" w:hAnsi="宋体" w:cs="Times New Roman"/>
          <w:color w:val="000000"/>
          <w:kern w:val="1"/>
          <w:sz w:val="24"/>
        </w:rPr>
        <w:t>[3]</w:t>
      </w:r>
      <w:r>
        <w:rPr>
          <w:rFonts w:ascii="Times New Roman" w:hAnsi="宋体" w:cs="Times New Roman"/>
          <w:color w:val="000000"/>
          <w:kern w:val="1"/>
          <w:sz w:val="24"/>
        </w:rPr>
        <w:t>三次产业分类依据国家统计局2018年修订的《三次产业划分规定》，第一产业是指农、林、牧、渔业（不含农、林、牧、渔专业及辅助性活动）；第二产业是指采矿业（不含开采专业及辅助性活动），制造业（不含金属制品、机械和设备修理业），电力、热力、燃气及水生产和供应业，建筑业；第三产业即服务业，是指除第一产业、第二产业以外的其他行业（剔除国际组织）。</w:t>
      </w:r>
    </w:p>
    <w:p>
      <w:pPr>
        <w:spacing w:line="560" w:lineRule="exact"/>
        <w:ind w:firstLine="480" w:firstLineChars="200"/>
        <w:rPr>
          <w:rFonts w:ascii="Times New Roman" w:hAnsi="宋体" w:cs="Times New Roman"/>
          <w:color w:val="000000"/>
          <w:kern w:val="1"/>
          <w:sz w:val="24"/>
        </w:rPr>
      </w:pPr>
      <w:r>
        <w:rPr>
          <w:rFonts w:hint="eastAsia" w:ascii="Times New Roman" w:hAnsi="宋体" w:cs="Times New Roman"/>
          <w:color w:val="000000"/>
          <w:kern w:val="1"/>
          <w:sz w:val="24"/>
        </w:rPr>
        <w:t>[4]规模以上工业企业：年主营业务收入达到2000万元及以上的工业法人单位；</w:t>
      </w:r>
    </w:p>
    <w:p>
      <w:pPr>
        <w:spacing w:line="560" w:lineRule="exact"/>
        <w:ind w:firstLine="480" w:firstLineChars="200"/>
        <w:rPr>
          <w:rFonts w:ascii="Times New Roman" w:hAnsi="宋体" w:cs="Times New Roman"/>
          <w:color w:val="000000"/>
          <w:kern w:val="1"/>
          <w:sz w:val="24"/>
        </w:rPr>
      </w:pPr>
      <w:r>
        <w:rPr>
          <w:rFonts w:hint="eastAsia" w:ascii="Times New Roman" w:hAnsi="宋体" w:cs="Times New Roman"/>
          <w:color w:val="000000"/>
          <w:kern w:val="1"/>
          <w:sz w:val="24"/>
        </w:rPr>
        <w:t>有资质等级的建筑业和所有房地产开发经营企业：有总承包、专业承包、劳务分包资质的建筑业法人单位和全部房地产开发经营业法人单位；</w:t>
      </w:r>
    </w:p>
    <w:p>
      <w:pPr>
        <w:spacing w:line="560" w:lineRule="exact"/>
        <w:ind w:firstLine="480" w:firstLineChars="200"/>
        <w:rPr>
          <w:rFonts w:ascii="Times New Roman" w:hAnsi="宋体" w:cs="Times New Roman"/>
          <w:color w:val="000000"/>
          <w:kern w:val="1"/>
          <w:sz w:val="24"/>
        </w:rPr>
      </w:pPr>
      <w:r>
        <w:rPr>
          <w:rFonts w:hint="eastAsia" w:ascii="Times New Roman" w:hAnsi="宋体" w:cs="Times New Roman"/>
          <w:color w:val="000000"/>
          <w:kern w:val="1"/>
          <w:sz w:val="24"/>
        </w:rPr>
        <w:t>限额以上批零住餐企业：年主营业务收入达到2000万元及以上的批发业法人单位，年主营业务收入达到500万元及以上的零售业法人单；年主营业务收入达到200万元及以上的住宿和餐饮业法人单位；</w:t>
      </w:r>
    </w:p>
    <w:p>
      <w:pPr>
        <w:spacing w:line="560" w:lineRule="exact"/>
        <w:ind w:firstLine="480" w:firstLineChars="200"/>
        <w:rPr>
          <w:rFonts w:ascii="Times New Roman" w:hAnsi="宋体" w:cs="Times New Roman"/>
          <w:color w:val="000000"/>
          <w:kern w:val="1"/>
          <w:sz w:val="24"/>
        </w:rPr>
      </w:pPr>
      <w:r>
        <w:rPr>
          <w:rFonts w:hint="eastAsia" w:ascii="Times New Roman" w:hAnsi="宋体" w:cs="Times New Roman"/>
          <w:color w:val="000000"/>
          <w:kern w:val="1"/>
          <w:sz w:val="24"/>
        </w:rPr>
        <w:t>规模以上服务业企业：年末从业人员50人及以上，或年营业收入1000万元及以上的服务业法人单位。包括：交通运输、仓储和邮政业，信息传输、软件和信息技术服务业，租赁和商务服务业，科学研究和技术服务业，水利、环境和公共设施管理业，教育、卫生和社会工作，物业管理、房地产中介服务、自有房地产经营活动和其他房地产业等行业；年末从业人员50人及以上，或年营业收入500万元及以上的服务业法人单位，包括居民服务、修理和其他服务业，文化、体育和娱乐业。</w:t>
      </w:r>
    </w:p>
    <w:p>
      <w:pPr>
        <w:spacing w:line="560" w:lineRule="exact"/>
        <w:ind w:firstLine="480" w:firstLineChars="200"/>
        <w:rPr>
          <w:rFonts w:hint="eastAsia" w:hAnsi="宋体" w:cs="Times New Roman"/>
          <w:color w:val="FF0000"/>
          <w:kern w:val="1"/>
          <w:sz w:val="24"/>
          <w:highlight w:val="yellow"/>
          <w:lang w:eastAsia="zh-CN"/>
        </w:rPr>
      </w:pPr>
      <w:r>
        <w:rPr>
          <w:rFonts w:hint="eastAsia" w:ascii="Times New Roman" w:hAnsi="宋体" w:cs="Times New Roman"/>
          <w:kern w:val="1"/>
          <w:sz w:val="24"/>
        </w:rPr>
        <w:t>[5]</w:t>
      </w:r>
      <w:r>
        <w:rPr>
          <w:rFonts w:ascii="Times New Roman" w:hAnsi="宋体" w:cs="Times New Roman"/>
          <w:kern w:val="1"/>
          <w:sz w:val="24"/>
        </w:rPr>
        <w:t>资料来源：本公报中城镇新增就业、失业人员再就业、就业困难人员就业、新增农村劳动力转移就业、农村劳动力转移就业、参加城镇养老、失业保险数据</w:t>
      </w:r>
      <w:r>
        <w:rPr>
          <w:rFonts w:hint="eastAsia" w:ascii="Times New Roman" w:hAnsi="宋体" w:cs="Times New Roman"/>
          <w:kern w:val="1"/>
          <w:sz w:val="24"/>
        </w:rPr>
        <w:t>（不包含鹿邑）</w:t>
      </w:r>
      <w:r>
        <w:rPr>
          <w:rFonts w:ascii="Times New Roman" w:hAnsi="宋体" w:cs="Times New Roman"/>
          <w:kern w:val="1"/>
          <w:sz w:val="24"/>
        </w:rPr>
        <w:t>来自市人力资源和社会保障局；</w:t>
      </w:r>
      <w:r>
        <w:rPr>
          <w:rFonts w:hint="eastAsia" w:ascii="Times New Roman" w:hAnsi="宋体" w:cs="Times New Roman"/>
          <w:kern w:val="1"/>
          <w:sz w:val="24"/>
        </w:rPr>
        <w:t>造林面积数据来自市生态林业发展保护中心；有效期内绿色食品等数据来自市农业农村局；参加医疗、生育保险人数数据（不包含鹿邑）来自市医疗保障局；</w:t>
      </w:r>
      <w:r>
        <w:rPr>
          <w:rFonts w:ascii="Times New Roman" w:hAnsi="宋体" w:cs="Times New Roman"/>
          <w:kern w:val="1"/>
          <w:sz w:val="24"/>
        </w:rPr>
        <w:t>财政数据来自市财政局；进出口</w:t>
      </w:r>
      <w:r>
        <w:rPr>
          <w:rFonts w:hint="eastAsia" w:ascii="Times New Roman" w:hAnsi="宋体" w:cs="Times New Roman"/>
          <w:kern w:val="1"/>
          <w:sz w:val="24"/>
        </w:rPr>
        <w:t>、实际利用外资</w:t>
      </w:r>
      <w:r>
        <w:rPr>
          <w:rFonts w:ascii="Times New Roman" w:hAnsi="宋体" w:cs="Times New Roman"/>
          <w:kern w:val="1"/>
          <w:sz w:val="24"/>
        </w:rPr>
        <w:t>数据来自市商务局；公路数据、水运数据来自市交通局；</w:t>
      </w:r>
      <w:r>
        <w:rPr>
          <w:rFonts w:hint="eastAsia" w:ascii="Times New Roman" w:hAnsi="宋体" w:cs="Times New Roman"/>
          <w:kern w:val="1"/>
          <w:sz w:val="24"/>
        </w:rPr>
        <w:t>港口货运数据来自市港航局；</w:t>
      </w:r>
      <w:r>
        <w:rPr>
          <w:rFonts w:ascii="Times New Roman" w:hAnsi="宋体" w:cs="Times New Roman"/>
          <w:kern w:val="1"/>
          <w:sz w:val="24"/>
        </w:rPr>
        <w:t>邮政业务数据来自市邮政管理局；电信业务数据来自市通信管理局；金融数据来自</w:t>
      </w:r>
      <w:r>
        <w:rPr>
          <w:rFonts w:hint="eastAsia" w:ascii="Times New Roman" w:hAnsi="宋体" w:cs="Times New Roman"/>
          <w:kern w:val="1"/>
          <w:sz w:val="24"/>
        </w:rPr>
        <w:t>中国人民银行</w:t>
      </w:r>
      <w:r>
        <w:rPr>
          <w:rFonts w:ascii="Times New Roman" w:hAnsi="宋体" w:cs="Times New Roman"/>
          <w:kern w:val="1"/>
          <w:sz w:val="24"/>
        </w:rPr>
        <w:t>周口</w:t>
      </w:r>
      <w:r>
        <w:rPr>
          <w:rFonts w:hint="eastAsia" w:ascii="Times New Roman" w:hAnsi="宋体" w:cs="Times New Roman"/>
          <w:kern w:val="1"/>
          <w:sz w:val="24"/>
        </w:rPr>
        <w:t>中心</w:t>
      </w:r>
      <w:r>
        <w:rPr>
          <w:rFonts w:ascii="Times New Roman" w:hAnsi="宋体" w:cs="Times New Roman"/>
          <w:kern w:val="1"/>
          <w:sz w:val="24"/>
        </w:rPr>
        <w:t>支行；教育</w:t>
      </w:r>
      <w:r>
        <w:rPr>
          <w:rFonts w:hint="eastAsia" w:ascii="Times New Roman" w:hAnsi="宋体" w:cs="Times New Roman"/>
          <w:kern w:val="1"/>
          <w:sz w:val="24"/>
        </w:rPr>
        <w:t>、体育</w:t>
      </w:r>
      <w:r>
        <w:rPr>
          <w:rFonts w:ascii="Times New Roman" w:hAnsi="宋体" w:cs="Times New Roman"/>
          <w:kern w:val="1"/>
          <w:sz w:val="24"/>
        </w:rPr>
        <w:t>数据来自市教</w:t>
      </w:r>
      <w:r>
        <w:rPr>
          <w:rFonts w:hint="eastAsia" w:ascii="Times New Roman" w:hAnsi="宋体" w:cs="Times New Roman"/>
          <w:kern w:val="1"/>
          <w:sz w:val="24"/>
        </w:rPr>
        <w:t>体</w:t>
      </w:r>
      <w:r>
        <w:rPr>
          <w:rFonts w:ascii="Times New Roman" w:hAnsi="宋体" w:cs="Times New Roman"/>
          <w:kern w:val="1"/>
          <w:sz w:val="24"/>
        </w:rPr>
        <w:t>局；</w:t>
      </w:r>
      <w:r>
        <w:rPr>
          <w:rFonts w:hint="eastAsia" w:ascii="Times New Roman" w:hAnsi="宋体" w:cs="Times New Roman"/>
          <w:kern w:val="1"/>
          <w:sz w:val="24"/>
        </w:rPr>
        <w:t>有效专利</w:t>
      </w:r>
      <w:r>
        <w:rPr>
          <w:rFonts w:ascii="Times New Roman" w:hAnsi="宋体" w:cs="Times New Roman"/>
          <w:kern w:val="1"/>
          <w:sz w:val="24"/>
        </w:rPr>
        <w:t>数据来自市</w:t>
      </w:r>
      <w:r>
        <w:rPr>
          <w:rFonts w:hint="eastAsia" w:ascii="Times New Roman" w:hAnsi="宋体" w:cs="Times New Roman"/>
          <w:kern w:val="1"/>
          <w:sz w:val="24"/>
        </w:rPr>
        <w:t>市场监督管理</w:t>
      </w:r>
      <w:r>
        <w:rPr>
          <w:rFonts w:ascii="Times New Roman" w:hAnsi="宋体" w:cs="Times New Roman"/>
          <w:kern w:val="1"/>
          <w:sz w:val="24"/>
        </w:rPr>
        <w:t>局；旅游数据、艺术表演团体、文化馆、公共图书馆、广播电视人口覆盖率、图书、期刊、报纸出版数据来自市文广旅局；医疗卫生数据来自市卫</w:t>
      </w:r>
      <w:r>
        <w:rPr>
          <w:rFonts w:hint="eastAsia" w:ascii="Times New Roman" w:hAnsi="宋体" w:cs="Times New Roman"/>
          <w:kern w:val="1"/>
          <w:sz w:val="24"/>
        </w:rPr>
        <w:t>健委</w:t>
      </w:r>
      <w:r>
        <w:rPr>
          <w:rFonts w:ascii="Times New Roman" w:hAnsi="宋体" w:cs="Times New Roman"/>
          <w:kern w:val="1"/>
          <w:sz w:val="24"/>
        </w:rPr>
        <w:t>；环保状况、水质状况、空气状况来自市环保局(大气质量优良天数为新标准[AQI])；</w:t>
      </w:r>
      <w:r>
        <w:rPr>
          <w:rFonts w:hint="eastAsia" w:ascii="Times New Roman" w:hAnsi="宋体" w:cs="Times New Roman"/>
          <w:kern w:val="1"/>
          <w:sz w:val="24"/>
        </w:rPr>
        <w:t>粮食数据、</w:t>
      </w:r>
      <w:r>
        <w:rPr>
          <w:rFonts w:ascii="Times New Roman" w:hAnsi="宋体" w:cs="Times New Roman"/>
          <w:kern w:val="1"/>
          <w:sz w:val="24"/>
        </w:rPr>
        <w:t>城乡收入数据</w:t>
      </w:r>
      <w:r>
        <w:rPr>
          <w:rFonts w:hint="eastAsia" w:ascii="Times New Roman" w:hAnsi="宋体" w:cs="Times New Roman"/>
          <w:kern w:val="1"/>
          <w:sz w:val="24"/>
        </w:rPr>
        <w:t>来自国家统计局周口调查队；其他数据来自市统计局</w:t>
      </w:r>
      <w:r>
        <w:rPr>
          <w:rFonts w:ascii="Times New Roman" w:hAnsi="宋体" w:cs="Times New Roman"/>
          <w:kern w:val="1"/>
          <w:sz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enlo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2540635</wp:posOffset>
              </wp:positionH>
              <wp:positionV relativeFrom="paragraph">
                <wp:posOffset>0</wp:posOffset>
              </wp:positionV>
              <wp:extent cx="70104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200.05pt;margin-top:0pt;height:11pt;width:55.2pt;mso-position-horizontal-relative:margin;z-index:251659264;mso-width-relative:page;mso-height-relative:page;" filled="f" stroked="f" coordsize="21600,21600" o:gfxdata="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8E"/>
    <w:rsid w:val="000D6B34"/>
    <w:rsid w:val="0016459D"/>
    <w:rsid w:val="00207774"/>
    <w:rsid w:val="00266718"/>
    <w:rsid w:val="002C309A"/>
    <w:rsid w:val="002F50A2"/>
    <w:rsid w:val="003A1F3C"/>
    <w:rsid w:val="003E5204"/>
    <w:rsid w:val="00403708"/>
    <w:rsid w:val="004118A4"/>
    <w:rsid w:val="00495AA8"/>
    <w:rsid w:val="004B5B83"/>
    <w:rsid w:val="00533022"/>
    <w:rsid w:val="00544B75"/>
    <w:rsid w:val="005755EF"/>
    <w:rsid w:val="005E3F43"/>
    <w:rsid w:val="00711644"/>
    <w:rsid w:val="00723B6C"/>
    <w:rsid w:val="007C6963"/>
    <w:rsid w:val="007F153D"/>
    <w:rsid w:val="00905357"/>
    <w:rsid w:val="009F13A9"/>
    <w:rsid w:val="00A20AC3"/>
    <w:rsid w:val="00A5143E"/>
    <w:rsid w:val="00A57218"/>
    <w:rsid w:val="00AA543C"/>
    <w:rsid w:val="00AF3D6A"/>
    <w:rsid w:val="00B0068E"/>
    <w:rsid w:val="00BA37C5"/>
    <w:rsid w:val="00BF2DCF"/>
    <w:rsid w:val="00C54B4F"/>
    <w:rsid w:val="00C724C2"/>
    <w:rsid w:val="00D95BE7"/>
    <w:rsid w:val="00E62D51"/>
    <w:rsid w:val="02770B0F"/>
    <w:rsid w:val="03F44B91"/>
    <w:rsid w:val="06314738"/>
    <w:rsid w:val="06430726"/>
    <w:rsid w:val="07BC63DE"/>
    <w:rsid w:val="0A9520BC"/>
    <w:rsid w:val="0D952FEF"/>
    <w:rsid w:val="0E411DB8"/>
    <w:rsid w:val="106F69AA"/>
    <w:rsid w:val="109376FA"/>
    <w:rsid w:val="12ED4754"/>
    <w:rsid w:val="147E456B"/>
    <w:rsid w:val="156F0307"/>
    <w:rsid w:val="15A106F2"/>
    <w:rsid w:val="15DB580B"/>
    <w:rsid w:val="16DF7229"/>
    <w:rsid w:val="171E3802"/>
    <w:rsid w:val="1861692D"/>
    <w:rsid w:val="18D075E7"/>
    <w:rsid w:val="196C7F91"/>
    <w:rsid w:val="19B4308D"/>
    <w:rsid w:val="19BD7254"/>
    <w:rsid w:val="19CE163C"/>
    <w:rsid w:val="1A396C03"/>
    <w:rsid w:val="1CA44F43"/>
    <w:rsid w:val="1CB97D41"/>
    <w:rsid w:val="1CF96EE4"/>
    <w:rsid w:val="1D5D243D"/>
    <w:rsid w:val="1DD12D29"/>
    <w:rsid w:val="1EB66707"/>
    <w:rsid w:val="1EE342D9"/>
    <w:rsid w:val="1FEE0FF7"/>
    <w:rsid w:val="20D7A4E1"/>
    <w:rsid w:val="21831890"/>
    <w:rsid w:val="2191411F"/>
    <w:rsid w:val="22E24B7F"/>
    <w:rsid w:val="28C13A14"/>
    <w:rsid w:val="2AA73737"/>
    <w:rsid w:val="2AE00C88"/>
    <w:rsid w:val="2B355336"/>
    <w:rsid w:val="2BAF201E"/>
    <w:rsid w:val="2E5074CD"/>
    <w:rsid w:val="32FA2702"/>
    <w:rsid w:val="33F92A00"/>
    <w:rsid w:val="340E5685"/>
    <w:rsid w:val="34167907"/>
    <w:rsid w:val="34277ABB"/>
    <w:rsid w:val="34FC3148"/>
    <w:rsid w:val="35FAA509"/>
    <w:rsid w:val="36327974"/>
    <w:rsid w:val="36CDF842"/>
    <w:rsid w:val="37D42812"/>
    <w:rsid w:val="38506218"/>
    <w:rsid w:val="39BF39BF"/>
    <w:rsid w:val="3B33724B"/>
    <w:rsid w:val="3B3921EE"/>
    <w:rsid w:val="3B8979CF"/>
    <w:rsid w:val="3BF54158"/>
    <w:rsid w:val="3CFA8848"/>
    <w:rsid w:val="3D5B1FEA"/>
    <w:rsid w:val="3DFFF7E6"/>
    <w:rsid w:val="3E5385FB"/>
    <w:rsid w:val="3F7DD494"/>
    <w:rsid w:val="3F863D41"/>
    <w:rsid w:val="3FB86062"/>
    <w:rsid w:val="3FFD0F2C"/>
    <w:rsid w:val="40BC669F"/>
    <w:rsid w:val="4104029D"/>
    <w:rsid w:val="41F067AB"/>
    <w:rsid w:val="431D1CC0"/>
    <w:rsid w:val="443C0366"/>
    <w:rsid w:val="44B47F70"/>
    <w:rsid w:val="47C95084"/>
    <w:rsid w:val="48854A43"/>
    <w:rsid w:val="496D279F"/>
    <w:rsid w:val="4DF76C1B"/>
    <w:rsid w:val="4F9F1659"/>
    <w:rsid w:val="4FDFBEB6"/>
    <w:rsid w:val="50016A06"/>
    <w:rsid w:val="50C40074"/>
    <w:rsid w:val="50EE0D9F"/>
    <w:rsid w:val="55216577"/>
    <w:rsid w:val="57BD889F"/>
    <w:rsid w:val="589C434F"/>
    <w:rsid w:val="58D378D4"/>
    <w:rsid w:val="595419A2"/>
    <w:rsid w:val="5A13578C"/>
    <w:rsid w:val="5A1F1135"/>
    <w:rsid w:val="5C051A69"/>
    <w:rsid w:val="5C4200D5"/>
    <w:rsid w:val="5CCE4C5B"/>
    <w:rsid w:val="5DA775E4"/>
    <w:rsid w:val="5DB01517"/>
    <w:rsid w:val="5DE22C69"/>
    <w:rsid w:val="5EC255FF"/>
    <w:rsid w:val="5F7F17C1"/>
    <w:rsid w:val="5F9F8131"/>
    <w:rsid w:val="5FB7A530"/>
    <w:rsid w:val="5FDD3F72"/>
    <w:rsid w:val="5FEF8CA6"/>
    <w:rsid w:val="60611A62"/>
    <w:rsid w:val="62645C0C"/>
    <w:rsid w:val="632121C7"/>
    <w:rsid w:val="6341552A"/>
    <w:rsid w:val="656B781B"/>
    <w:rsid w:val="658716F1"/>
    <w:rsid w:val="67BF0A16"/>
    <w:rsid w:val="68241D63"/>
    <w:rsid w:val="68B322B9"/>
    <w:rsid w:val="692339CE"/>
    <w:rsid w:val="69766A05"/>
    <w:rsid w:val="6BA54493"/>
    <w:rsid w:val="6C882293"/>
    <w:rsid w:val="6D1E0B73"/>
    <w:rsid w:val="6DEE7671"/>
    <w:rsid w:val="6EEEF336"/>
    <w:rsid w:val="6FBCB669"/>
    <w:rsid w:val="6FEECBD4"/>
    <w:rsid w:val="6FEF189F"/>
    <w:rsid w:val="6FF7ED3F"/>
    <w:rsid w:val="70256027"/>
    <w:rsid w:val="705E3FA3"/>
    <w:rsid w:val="71757B5C"/>
    <w:rsid w:val="71BE5A33"/>
    <w:rsid w:val="745C07C0"/>
    <w:rsid w:val="75782FAA"/>
    <w:rsid w:val="75BBE7E2"/>
    <w:rsid w:val="75FEC0DF"/>
    <w:rsid w:val="772E421E"/>
    <w:rsid w:val="77FFFC4C"/>
    <w:rsid w:val="797DDB57"/>
    <w:rsid w:val="7B136D89"/>
    <w:rsid w:val="7B799C21"/>
    <w:rsid w:val="7BD86900"/>
    <w:rsid w:val="7BDD075A"/>
    <w:rsid w:val="7CD4226B"/>
    <w:rsid w:val="7D2EC2E0"/>
    <w:rsid w:val="7DA46E65"/>
    <w:rsid w:val="7DB743FC"/>
    <w:rsid w:val="7DC13A3B"/>
    <w:rsid w:val="7DFEEC72"/>
    <w:rsid w:val="7DFF5076"/>
    <w:rsid w:val="7EEFBB92"/>
    <w:rsid w:val="7F1A7618"/>
    <w:rsid w:val="7F7FDDAE"/>
    <w:rsid w:val="7FFFCB58"/>
    <w:rsid w:val="91BB1A1D"/>
    <w:rsid w:val="9EF53BE5"/>
    <w:rsid w:val="9FD32242"/>
    <w:rsid w:val="AF6B1E60"/>
    <w:rsid w:val="B5FF4110"/>
    <w:rsid w:val="BCE7BEB3"/>
    <w:rsid w:val="BEB77FEA"/>
    <w:rsid w:val="BFF7752A"/>
    <w:rsid w:val="C776A3E5"/>
    <w:rsid w:val="D53BD36C"/>
    <w:rsid w:val="D913E746"/>
    <w:rsid w:val="DCDCB69C"/>
    <w:rsid w:val="DF6DC8BF"/>
    <w:rsid w:val="DFDA9522"/>
    <w:rsid w:val="E67B062E"/>
    <w:rsid w:val="E6FD65CF"/>
    <w:rsid w:val="EB7FD69E"/>
    <w:rsid w:val="EBB72C40"/>
    <w:rsid w:val="ED5664C2"/>
    <w:rsid w:val="EE57885C"/>
    <w:rsid w:val="EFA783FB"/>
    <w:rsid w:val="EFDDEDA7"/>
    <w:rsid w:val="F1EE157B"/>
    <w:rsid w:val="F35FC2B8"/>
    <w:rsid w:val="F49F0DF6"/>
    <w:rsid w:val="F6573BD5"/>
    <w:rsid w:val="F6FDC238"/>
    <w:rsid w:val="F7750CB7"/>
    <w:rsid w:val="F77FA9B1"/>
    <w:rsid w:val="F7BF52CF"/>
    <w:rsid w:val="F7DCE5E6"/>
    <w:rsid w:val="F7F10CE7"/>
    <w:rsid w:val="F8E5978F"/>
    <w:rsid w:val="F9EBEABC"/>
    <w:rsid w:val="FB733275"/>
    <w:rsid w:val="FBB20EF9"/>
    <w:rsid w:val="FBE7D801"/>
    <w:rsid w:val="FD5A876A"/>
    <w:rsid w:val="FD7F07A1"/>
    <w:rsid w:val="FEBFD8C7"/>
    <w:rsid w:val="FEF7DD38"/>
    <w:rsid w:val="FF7EA732"/>
    <w:rsid w:val="FFAF65EE"/>
    <w:rsid w:val="FFE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600" w:lineRule="exact"/>
      <w:ind w:firstLine="420"/>
    </w:pPr>
    <w:rPr>
      <w:rFonts w:ascii="Times New Roman" w:hAnsi="Times New Roman" w:eastAsia="宋体" w:cs="Times New Roman"/>
      <w:bCs/>
      <w:sz w:val="30"/>
    </w:rPr>
  </w:style>
  <w:style w:type="paragraph" w:styleId="3">
    <w:name w:val="Body Text"/>
    <w:basedOn w:val="1"/>
    <w:next w:val="1"/>
    <w:qFormat/>
    <w:uiPriority w:val="0"/>
    <w:pPr>
      <w:spacing w:line="240" w:lineRule="atLeast"/>
    </w:pPr>
    <w:rPr>
      <w:rFonts w:ascii="仿宋_GB2312" w:eastAsia="仿宋_GB2312"/>
      <w:sz w:val="32"/>
    </w:rPr>
  </w:style>
  <w:style w:type="paragraph" w:styleId="5">
    <w:name w:val="Balloon Text"/>
    <w:basedOn w:val="1"/>
    <w:link w:val="3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5"/>
      </w:tabs>
      <w:jc w:val="left"/>
    </w:pPr>
    <w:rPr>
      <w:kern w:val="1"/>
      <w:sz w:val="18"/>
      <w:szCs w:val="18"/>
    </w:rPr>
  </w:style>
  <w:style w:type="paragraph" w:styleId="7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styleId="12">
    <w:name w:val="FollowedHyperlink"/>
    <w:qFormat/>
    <w:uiPriority w:val="0"/>
    <w:rPr>
      <w:rFonts w:hint="eastAsia" w:ascii="微软雅黑" w:hAnsi="微软雅黑" w:eastAsia="微软雅黑" w:cs="微软雅黑"/>
      <w:color w:val="666666"/>
      <w:sz w:val="21"/>
      <w:szCs w:val="21"/>
      <w:u w:val="single"/>
    </w:rPr>
  </w:style>
  <w:style w:type="character" w:styleId="13">
    <w:name w:val="Hyperlink"/>
    <w:qFormat/>
    <w:uiPriority w:val="0"/>
    <w:rPr>
      <w:rFonts w:ascii="微软雅黑" w:hAnsi="微软雅黑" w:eastAsia="微软雅黑" w:cs="微软雅黑"/>
      <w:color w:val="666666"/>
      <w:sz w:val="21"/>
      <w:szCs w:val="21"/>
      <w:u w:val="single"/>
    </w:rPr>
  </w:style>
  <w:style w:type="paragraph" w:customStyle="1" w:styleId="14">
    <w:name w:val="批注框文本1"/>
    <w:basedOn w:val="1"/>
    <w:link w:val="15"/>
    <w:qFormat/>
    <w:uiPriority w:val="0"/>
    <w:rPr>
      <w:sz w:val="18"/>
      <w:szCs w:val="18"/>
    </w:rPr>
  </w:style>
  <w:style w:type="character" w:customStyle="1" w:styleId="15">
    <w:name w:val="批注框文本 Char"/>
    <w:link w:val="14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customStyle="1" w:styleId="16">
    <w:name w:val="纯文本1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17">
    <w:name w:val="普通(网站)1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8">
    <w:name w:val="正文首行缩进1"/>
    <w:basedOn w:val="3"/>
    <w:next w:val="16"/>
    <w:qFormat/>
    <w:uiPriority w:val="0"/>
    <w:pPr>
      <w:ind w:firstLine="420" w:firstLineChars="100"/>
    </w:pPr>
    <w:rPr>
      <w:rFonts w:ascii="Times New Roman" w:hAnsi="Times New Roman" w:cs="Times New Roman"/>
    </w:rPr>
  </w:style>
  <w:style w:type="character" w:customStyle="1" w:styleId="19">
    <w:name w:val="HTML 定义1"/>
    <w:qFormat/>
    <w:uiPriority w:val="0"/>
    <w:rPr>
      <w:i/>
    </w:rPr>
  </w:style>
  <w:style w:type="character" w:customStyle="1" w:styleId="20">
    <w:name w:val="HTML 代码1"/>
    <w:qFormat/>
    <w:uiPriority w:val="0"/>
    <w:rPr>
      <w:rFonts w:ascii="Menlo" w:hAnsi="Menlo" w:eastAsia="Menlo" w:cs="Menlo"/>
      <w:color w:val="C7254E"/>
      <w:sz w:val="21"/>
      <w:szCs w:val="21"/>
      <w:shd w:val="clear" w:color="auto" w:fill="F9F2F4"/>
    </w:rPr>
  </w:style>
  <w:style w:type="character" w:customStyle="1" w:styleId="21">
    <w:name w:val="HTML 键盘1"/>
    <w:qFormat/>
    <w:uiPriority w:val="0"/>
    <w:rPr>
      <w:rFonts w:hint="default" w:ascii="Menlo" w:hAnsi="Menlo" w:eastAsia="Menlo" w:cs="Menlo"/>
      <w:color w:val="FFFFFF"/>
      <w:sz w:val="21"/>
      <w:szCs w:val="21"/>
      <w:shd w:val="clear" w:color="auto" w:fill="333333"/>
    </w:rPr>
  </w:style>
  <w:style w:type="character" w:customStyle="1" w:styleId="22">
    <w:name w:val="HTML 样本1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23">
    <w:name w:val="glyphicon2"/>
    <w:basedOn w:val="10"/>
    <w:qFormat/>
    <w:uiPriority w:val="0"/>
  </w:style>
  <w:style w:type="character" w:customStyle="1" w:styleId="24">
    <w:name w:val="hour_pm"/>
    <w:basedOn w:val="10"/>
    <w:qFormat/>
    <w:uiPriority w:val="0"/>
  </w:style>
  <w:style w:type="character" w:customStyle="1" w:styleId="25">
    <w:name w:val="disabled"/>
    <w:qFormat/>
    <w:uiPriority w:val="0"/>
    <w:rPr>
      <w:color w:val="999999"/>
    </w:rPr>
  </w:style>
  <w:style w:type="character" w:customStyle="1" w:styleId="26">
    <w:name w:val="hover6"/>
    <w:qFormat/>
    <w:uiPriority w:val="0"/>
    <w:rPr>
      <w:shd w:val="clear" w:color="auto" w:fill="EEEEEE"/>
    </w:rPr>
  </w:style>
  <w:style w:type="character" w:customStyle="1" w:styleId="27">
    <w:name w:val="old"/>
    <w:qFormat/>
    <w:uiPriority w:val="0"/>
    <w:rPr>
      <w:color w:val="999999"/>
    </w:rPr>
  </w:style>
  <w:style w:type="character" w:customStyle="1" w:styleId="28">
    <w:name w:val="active3"/>
    <w:qFormat/>
    <w:uiPriority w:val="0"/>
    <w:rPr>
      <w:color w:val="FFFFFF"/>
      <w:shd w:val="clear" w:color="auto" w:fill="006DCC"/>
    </w:rPr>
  </w:style>
  <w:style w:type="character" w:customStyle="1" w:styleId="29">
    <w:name w:val="hour_am"/>
    <w:basedOn w:val="10"/>
    <w:qFormat/>
    <w:uiPriority w:val="0"/>
  </w:style>
  <w:style w:type="character" w:customStyle="1" w:styleId="30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页眉 Char"/>
    <w:basedOn w:val="10"/>
    <w:link w:val="7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32">
    <w:name w:val="批注框文本 Char1"/>
    <w:basedOn w:val="10"/>
    <w:link w:val="5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/data/&#24352;&#40527;&#36745;/&#32508;&#21512;&#31185;&#25991;&#20214;/&#32479;&#35745;&#36164;&#26009;/&#32479;&#35745;&#20844;&#25253;/2021&#24180;&#20844;&#25253;&#25152;&#38656;&#25991;&#20214;/2021&#24180;&#32479;&#35745;&#20844;&#25253;&#32463;&#27982;&#25351;&#26631;&#22270;&#34920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/data/&#24352;&#40527;&#36745;/&#32508;&#21512;&#31185;&#25991;&#20214;/&#32479;&#35745;&#36164;&#26009;/&#32479;&#35745;&#20844;&#25253;/2021&#24180;&#20844;&#25253;&#25152;&#38656;&#25991;&#20214;/2021&#24180;&#32479;&#35745;&#20844;&#25253;&#32463;&#27982;&#25351;&#26631;&#22270;&#34920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/data/&#24352;&#40527;&#36745;/&#32508;&#21512;&#31185;&#25991;&#20214;/&#32479;&#35745;&#36164;&#26009;/&#32479;&#35745;&#20844;&#25253;/2021&#24180;&#20844;&#25253;&#25152;&#38656;&#25991;&#20214;/2021&#24180;&#32479;&#35745;&#20844;&#25253;&#32463;&#27982;&#25351;&#26631;&#22270;&#34920;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/data/&#24352;&#40527;&#36745;/&#32508;&#21512;&#31185;&#25991;&#20214;/&#32479;&#35745;&#36164;&#26009;/&#32479;&#35745;&#20844;&#25253;/2021&#24180;&#20844;&#25253;&#25152;&#38656;&#25991;&#20214;/2021&#24180;&#32479;&#35745;&#20844;&#25253;&#32463;&#27982;&#25351;&#26631;&#22270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75877387827632"/>
          <c:y val="0.129484304932735"/>
          <c:w val="0.89531319413594"/>
          <c:h val="0.7823991031390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"值"</c:f>
              <c:strCache>
                <c:ptCount val="1"/>
                <c:pt idx="0">
                  <c:v>值</c:v>
                </c:pt>
              </c:strCache>
            </c:strRef>
          </c:tx>
          <c:spPr>
            <a:solidFill>
              <a:srgbClr val="4F81BD">
                <a:alpha val="100000"/>
              </a:srgbClr>
            </a:solidFill>
            <a:ln w="3175">
              <a:noFill/>
            </a:ln>
          </c:spPr>
          <c:invertIfNegative val="0"/>
          <c:dLbls>
            <c:dLbl>
              <c:idx val="1"/>
              <c:layout>
                <c:manualLayout>
                  <c:x val="0"/>
                  <c:y val="0.0167473018235951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charset="-122"/>
                      <a:ea typeface="宋体" charset="-122"/>
                      <a:cs typeface="宋体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charset="-122"/>
                    <a:ea typeface="宋体" charset="-122"/>
                    <a:cs typeface="宋体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'[2021年统计公报经济指标图表.xls]"十三五"期间经济指标'!$C$2:$G$2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'[2021年统计公报经济指标图表.xls]"十三五"期间经济指标'!$C$3:$G$3</c:f>
              <c:numCache>
                <c:formatCode>0.00_ </c:formatCode>
                <c:ptCount val="5"/>
                <c:pt idx="0">
                  <c:v>2459.7</c:v>
                </c:pt>
                <c:pt idx="1" c:formatCode="General">
                  <c:v>2939.59</c:v>
                </c:pt>
                <c:pt idx="2" c:formatCode="General">
                  <c:v>3166.51</c:v>
                </c:pt>
                <c:pt idx="3">
                  <c:v>3221.8</c:v>
                </c:pt>
                <c:pt idx="4" c:formatCode="General">
                  <c:v>3496.23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5"/>
        <c:axId val="897827433"/>
        <c:axId val="72496890"/>
      </c:barChart>
      <c:lineChart>
        <c:grouping val="stacked"/>
        <c:varyColors val="0"/>
        <c:ser>
          <c:idx val="1"/>
          <c:order val="1"/>
          <c:tx>
            <c:strRef>
              <c:f>'[2021年统计公报经济指标图表.xls]"十三五"期间经济指标'!$B$4</c:f>
              <c:strCache>
                <c:ptCount val="1"/>
                <c:pt idx="0">
                  <c:v>地区生产总值增速</c:v>
                </c:pt>
              </c:strCache>
            </c:strRef>
          </c:tx>
          <c:spPr>
            <a:ln w="19050" cap="flat" cmpd="sng" algn="ctr">
              <a:solidFill>
                <a:schemeClr val="accent2"/>
              </a:solidFill>
              <a:prstDash val="solid"/>
              <a:round/>
              <a:headEnd type="oval"/>
              <a:tailEnd type="oval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0.0517126334519573"/>
                  <c:y val="-0.0390770375883885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charset="-122"/>
                      <a:ea typeface="宋体" charset="-122"/>
                      <a:cs typeface="宋体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67081850533808"/>
                  <c:y val="-0.0446594715295869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charset="-122"/>
                      <a:ea typeface="宋体" charset="-122"/>
                      <a:cs typeface="宋体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charset="-122"/>
                    <a:ea typeface="宋体" charset="-122"/>
                    <a:cs typeface="宋体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'[2021年统计公报经济指标图表.xls]"十三五"期间经济指标'!$C$2:$G$2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'[2021年统计公报经济指标图表.xls]"十三五"期间经济指标'!$C$4:$G$4</c:f>
              <c:numCache>
                <c:formatCode>0.0%</c:formatCode>
                <c:ptCount val="5"/>
                <c:pt idx="0">
                  <c:v>0.077</c:v>
                </c:pt>
                <c:pt idx="1">
                  <c:v>0.082</c:v>
                </c:pt>
                <c:pt idx="2">
                  <c:v>0.073</c:v>
                </c:pt>
                <c:pt idx="3">
                  <c:v>0.013</c:v>
                </c:pt>
                <c:pt idx="4">
                  <c:v>0.063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1"/>
        <c:axId val="946709471"/>
        <c:axId val="206104051"/>
      </c:lineChart>
      <c:catAx>
        <c:axId val="89782743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>
                    <a:alpha val="100000"/>
                  </a:sysClr>
                </a:solidFill>
                <a:latin typeface="宋体" charset="-122"/>
                <a:ea typeface="宋体" charset="-122"/>
                <a:cs typeface="宋体" charset="-122"/>
              </a:defRPr>
            </a:pPr>
          </a:p>
        </c:txPr>
        <c:crossAx val="72496890"/>
        <c:crosses val="autoZero"/>
        <c:auto val="0"/>
        <c:lblAlgn val="ctr"/>
        <c:lblOffset val="100"/>
        <c:noMultiLvlLbl val="0"/>
      </c:catAx>
      <c:valAx>
        <c:axId val="7249689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_);[Red]\(0\)" sourceLinked="0"/>
        <c:majorTickMark val="none"/>
        <c:minorTickMark val="none"/>
        <c:tickLblPos val="nextTo"/>
        <c:spPr>
          <a:ln w="3175" cap="flat" cmpd="sng" algn="ctr">
            <a:noFill/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>
                    <a:alpha val="100000"/>
                  </a:sysClr>
                </a:solidFill>
                <a:latin typeface="宋体" charset="-122"/>
                <a:ea typeface="宋体" charset="-122"/>
                <a:cs typeface="宋体" charset="-122"/>
              </a:defRPr>
            </a:pPr>
          </a:p>
        </c:txPr>
        <c:crossAx val="897827433"/>
        <c:crosses val="autoZero"/>
        <c:crossBetween val="between"/>
      </c:valAx>
      <c:catAx>
        <c:axId val="946709471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charset="-122"/>
                <a:ea typeface="宋体" charset="-122"/>
                <a:cs typeface="宋体" charset="-122"/>
              </a:defRPr>
            </a:pPr>
          </a:p>
        </c:txPr>
        <c:crossAx val="206104051"/>
        <c:crosses val="autoZero"/>
        <c:auto val="1"/>
        <c:lblAlgn val="ctr"/>
        <c:lblOffset val="100"/>
        <c:noMultiLvlLbl val="0"/>
      </c:catAx>
      <c:valAx>
        <c:axId val="206104051"/>
        <c:scaling>
          <c:orientation val="minMax"/>
          <c:max val="0.1"/>
        </c:scaling>
        <c:delete val="0"/>
        <c:axPos val="r"/>
        <c:numFmt formatCode="0.0%" sourceLinked="1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charset="-122"/>
                <a:ea typeface="宋体" charset="-122"/>
                <a:cs typeface="宋体" charset="-122"/>
              </a:defRPr>
            </a:pPr>
          </a:p>
        </c:txPr>
        <c:crossAx val="946709471"/>
        <c:crosses val="max"/>
        <c:crossBetween val="between"/>
      </c:valAx>
      <c:spPr>
        <a:noFill/>
        <a:ln w="3175">
          <a:solidFill>
            <a:srgbClr val="C0C0C0">
              <a:alpha val="100000"/>
            </a:srgbClr>
          </a:solidFill>
          <a:prstDash val="solid"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>
              <a:alpha val="100000"/>
            </a:srgbClr>
          </a:solidFill>
          <a:latin typeface="宋体" charset="-122"/>
          <a:ea typeface="宋体" charset="-122"/>
          <a:cs typeface="宋体" charset="-122"/>
        </a:defRPr>
      </a:pPr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75877387827632"/>
          <c:y val="0.129484304932735"/>
          <c:w val="0.89531319413594"/>
          <c:h val="0.7823991031390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"值"</c:f>
              <c:strCache>
                <c:ptCount val="1"/>
                <c:pt idx="0">
                  <c:v>值</c:v>
                </c:pt>
              </c:strCache>
            </c:strRef>
          </c:tx>
          <c:spPr>
            <a:solidFill>
              <a:srgbClr val="4F81BD">
                <a:alpha val="100000"/>
              </a:srgbClr>
            </a:solidFill>
            <a:ln w="3175">
              <a:noFill/>
            </a:ln>
          </c:spPr>
          <c:invertIfNegative val="0"/>
          <c:dLbls>
            <c:dLbl>
              <c:idx val="1"/>
              <c:layout>
                <c:manualLayout>
                  <c:x val="0"/>
                  <c:y val="0.0167473018235951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charset="-122"/>
                      <a:ea typeface="宋体" charset="-122"/>
                      <a:cs typeface="宋体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charset="-122"/>
                    <a:ea typeface="宋体" charset="-122"/>
                    <a:cs typeface="宋体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'[2021年统计公报经济指标图表.xls]"十三五"期间经济指标'!$C$2:$G$2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'[2021年统计公报经济指标图表.xls]"十三五"期间经济指标'!$C$5:$G$5</c:f>
              <c:numCache>
                <c:formatCode>0.00</c:formatCode>
                <c:ptCount val="5"/>
                <c:pt idx="0">
                  <c:v>887.71</c:v>
                </c:pt>
                <c:pt idx="1">
                  <c:v>901.9</c:v>
                </c:pt>
                <c:pt idx="2">
                  <c:v>912.48</c:v>
                </c:pt>
                <c:pt idx="3">
                  <c:v>934.3</c:v>
                </c:pt>
                <c:pt idx="4">
                  <c:v>923.72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5"/>
        <c:axId val="897827433"/>
        <c:axId val="72496890"/>
      </c:barChart>
      <c:catAx>
        <c:axId val="89782743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>
                    <a:alpha val="100000"/>
                  </a:sysClr>
                </a:solidFill>
                <a:latin typeface="宋体" charset="-122"/>
                <a:ea typeface="宋体" charset="-122"/>
                <a:cs typeface="宋体" charset="-122"/>
              </a:defRPr>
            </a:pPr>
          </a:p>
        </c:txPr>
        <c:crossAx val="72496890"/>
        <c:crosses val="autoZero"/>
        <c:auto val="0"/>
        <c:lblAlgn val="ctr"/>
        <c:lblOffset val="100"/>
        <c:noMultiLvlLbl val="0"/>
      </c:catAx>
      <c:valAx>
        <c:axId val="7249689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_);[Red]\(0\)" sourceLinked="0"/>
        <c:majorTickMark val="none"/>
        <c:minorTickMark val="none"/>
        <c:tickLblPos val="nextTo"/>
        <c:spPr>
          <a:ln w="3175" cap="flat" cmpd="sng" algn="ctr">
            <a:noFill/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>
                    <a:alpha val="100000"/>
                  </a:sysClr>
                </a:solidFill>
                <a:latin typeface="宋体" charset="-122"/>
                <a:ea typeface="宋体" charset="-122"/>
                <a:cs typeface="宋体" charset="-122"/>
              </a:defRPr>
            </a:pPr>
          </a:p>
        </c:txPr>
        <c:crossAx val="897827433"/>
        <c:crosses val="autoZero"/>
        <c:crossBetween val="between"/>
      </c:valAx>
      <c:spPr>
        <a:noFill/>
        <a:ln w="3175">
          <a:solidFill>
            <a:srgbClr val="C0C0C0">
              <a:alpha val="100000"/>
            </a:srgbClr>
          </a:solidFill>
          <a:prstDash val="solid"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>
              <a:alpha val="100000"/>
            </a:srgbClr>
          </a:solidFill>
          <a:latin typeface="宋体" charset="-122"/>
          <a:ea typeface="宋体" charset="-122"/>
          <a:cs typeface="宋体" charset="-122"/>
        </a:defRPr>
      </a:pPr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75877387827632"/>
          <c:y val="0.129484304932735"/>
          <c:w val="0.89531319413594"/>
          <c:h val="0.7823991031390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"值"</c:f>
              <c:strCache>
                <c:ptCount val="1"/>
                <c:pt idx="0">
                  <c:v>值</c:v>
                </c:pt>
              </c:strCache>
            </c:strRef>
          </c:tx>
          <c:spPr>
            <a:solidFill>
              <a:srgbClr val="4F81BD">
                <a:alpha val="100000"/>
              </a:srgbClr>
            </a:solidFill>
            <a:ln w="3175">
              <a:noFill/>
            </a:ln>
          </c:spPr>
          <c:invertIfNegative val="0"/>
          <c:dLbls>
            <c:dLbl>
              <c:idx val="1"/>
              <c:layout>
                <c:manualLayout>
                  <c:x val="0"/>
                  <c:y val="0.0167473018235951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charset="-122"/>
                      <a:ea typeface="宋体" charset="-122"/>
                      <a:cs typeface="宋体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charset="-122"/>
                    <a:ea typeface="宋体" charset="-122"/>
                    <a:cs typeface="宋体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'[2021年统计公报经济指标图表.xls]"十三五"期间经济指标'!$C$2:$G$2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'[2021年统计公报经济指标图表.xls]"十三五"期间经济指标'!$C$9:$G$9</c:f>
              <c:numCache>
                <c:formatCode>0.00</c:formatCode>
                <c:ptCount val="5"/>
                <c:pt idx="0">
                  <c:v>1227.1617</c:v>
                </c:pt>
                <c:pt idx="1" c:formatCode="0.00_ ">
                  <c:v>1322.5672</c:v>
                </c:pt>
                <c:pt idx="2" c:formatCode="General">
                  <c:v>1679.62</c:v>
                </c:pt>
                <c:pt idx="3" c:formatCode="General">
                  <c:v>1650.64</c:v>
                </c:pt>
                <c:pt idx="4" c:formatCode="General">
                  <c:v>1804.75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5"/>
        <c:axId val="897827433"/>
        <c:axId val="72496890"/>
      </c:barChart>
      <c:lineChart>
        <c:grouping val="stacked"/>
        <c:varyColors val="0"/>
        <c:ser>
          <c:idx val="1"/>
          <c:order val="1"/>
          <c:spPr>
            <a:ln w="19050" cap="flat" cmpd="sng" algn="ctr">
              <a:solidFill>
                <a:schemeClr val="accent2"/>
              </a:solidFill>
              <a:prstDash val="solid"/>
              <a:round/>
              <a:headEnd type="oval"/>
              <a:tailEnd type="oval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0.0517126334519573"/>
                  <c:y val="-0.0390770375883885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charset="-122"/>
                      <a:ea typeface="宋体" charset="-122"/>
                      <a:cs typeface="宋体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67081850533808"/>
                  <c:y val="-0.0446594715295869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charset="-122"/>
                      <a:ea typeface="宋体" charset="-122"/>
                      <a:cs typeface="宋体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charset="-122"/>
                    <a:ea typeface="宋体" charset="-122"/>
                    <a:cs typeface="宋体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'[2021年统计公报经济指标图表.xls]"十三五"期间经济指标'!$C$2:$G$2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'[2021年统计公报经济指标图表.xls]"十三五"期间经济指标'!$C$10:$G$10</c:f>
              <c:numCache>
                <c:formatCode>0.0%</c:formatCode>
                <c:ptCount val="5"/>
                <c:pt idx="0">
                  <c:v>0.122</c:v>
                </c:pt>
                <c:pt idx="1">
                  <c:v>0.107</c:v>
                </c:pt>
                <c:pt idx="2">
                  <c:v>0.113</c:v>
                </c:pt>
                <c:pt idx="3">
                  <c:v>-0.017</c:v>
                </c:pt>
                <c:pt idx="4">
                  <c:v>0.093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1"/>
        <c:axId val="946709471"/>
        <c:axId val="206104051"/>
      </c:lineChart>
      <c:catAx>
        <c:axId val="89782743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>
                    <a:alpha val="100000"/>
                  </a:sysClr>
                </a:solidFill>
                <a:latin typeface="宋体" charset="-122"/>
                <a:ea typeface="宋体" charset="-122"/>
                <a:cs typeface="宋体" charset="-122"/>
              </a:defRPr>
            </a:pPr>
          </a:p>
        </c:txPr>
        <c:crossAx val="72496890"/>
        <c:crosses val="autoZero"/>
        <c:auto val="0"/>
        <c:lblAlgn val="ctr"/>
        <c:lblOffset val="100"/>
        <c:noMultiLvlLbl val="0"/>
      </c:catAx>
      <c:valAx>
        <c:axId val="7249689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_);[Red]\(0\)" sourceLinked="0"/>
        <c:majorTickMark val="none"/>
        <c:minorTickMark val="none"/>
        <c:tickLblPos val="nextTo"/>
        <c:spPr>
          <a:ln w="3175" cap="flat" cmpd="sng" algn="ctr">
            <a:noFill/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>
                    <a:alpha val="100000"/>
                  </a:sysClr>
                </a:solidFill>
                <a:latin typeface="宋体" charset="-122"/>
                <a:ea typeface="宋体" charset="-122"/>
                <a:cs typeface="宋体" charset="-122"/>
              </a:defRPr>
            </a:pPr>
          </a:p>
        </c:txPr>
        <c:crossAx val="897827433"/>
        <c:crosses val="autoZero"/>
        <c:crossBetween val="between"/>
      </c:valAx>
      <c:catAx>
        <c:axId val="946709471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charset="-122"/>
                <a:ea typeface="宋体" charset="-122"/>
                <a:cs typeface="宋体" charset="-122"/>
              </a:defRPr>
            </a:pPr>
          </a:p>
        </c:txPr>
        <c:crossAx val="206104051"/>
        <c:crosses val="autoZero"/>
        <c:auto val="1"/>
        <c:lblAlgn val="ctr"/>
        <c:lblOffset val="100"/>
        <c:noMultiLvlLbl val="0"/>
      </c:catAx>
      <c:valAx>
        <c:axId val="206104051"/>
        <c:scaling>
          <c:orientation val="minMax"/>
        </c:scaling>
        <c:delete val="0"/>
        <c:axPos val="r"/>
        <c:numFmt formatCode="0.0%" sourceLinked="1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charset="-122"/>
                <a:ea typeface="宋体" charset="-122"/>
                <a:cs typeface="宋体" charset="-122"/>
              </a:defRPr>
            </a:pPr>
          </a:p>
        </c:txPr>
        <c:crossAx val="946709471"/>
        <c:crosses val="max"/>
        <c:crossBetween val="between"/>
      </c:valAx>
      <c:spPr>
        <a:noFill/>
        <a:ln w="3175">
          <a:solidFill>
            <a:srgbClr val="C0C0C0">
              <a:alpha val="100000"/>
            </a:srgbClr>
          </a:solidFill>
          <a:prstDash val="solid"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>
              <a:alpha val="100000"/>
            </a:srgbClr>
          </a:solidFill>
          <a:latin typeface="宋体" charset="-122"/>
          <a:ea typeface="宋体" charset="-122"/>
          <a:cs typeface="宋体" charset="-122"/>
        </a:defRPr>
      </a:pPr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75877387827632"/>
          <c:y val="0.129484304932735"/>
          <c:w val="0.89531319413594"/>
          <c:h val="0.7823991031390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"值"</c:f>
              <c:strCache>
                <c:ptCount val="1"/>
                <c:pt idx="0">
                  <c:v>值</c:v>
                </c:pt>
              </c:strCache>
            </c:strRef>
          </c:tx>
          <c:spPr>
            <a:solidFill>
              <a:srgbClr val="4F81BD">
                <a:alpha val="100000"/>
              </a:srgbClr>
            </a:solidFill>
            <a:ln w="3175">
              <a:noFill/>
            </a:ln>
          </c:spPr>
          <c:invertIfNegative val="0"/>
          <c:dLbls>
            <c:dLbl>
              <c:idx val="1"/>
              <c:layout>
                <c:manualLayout>
                  <c:x val="0"/>
                  <c:y val="0.0167473018235951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charset="-122"/>
                      <a:ea typeface="宋体" charset="-122"/>
                      <a:cs typeface="宋体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charset="-122"/>
                    <a:ea typeface="宋体" charset="-122"/>
                    <a:cs typeface="宋体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'[2021年统计公报经济指标图表.xls]"十三五"期间经济指标'!$C$2:$G$2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'[2021年统计公报经济指标图表.xls]"十三五"期间经济指标'!$C$18:$G$18</c:f>
              <c:numCache>
                <c:formatCode>0</c:formatCode>
                <c:ptCount val="5"/>
                <c:pt idx="0">
                  <c:v>15226.1046193555</c:v>
                </c:pt>
                <c:pt idx="1">
                  <c:v>16760.87</c:v>
                </c:pt>
                <c:pt idx="2">
                  <c:v>18321.3</c:v>
                </c:pt>
                <c:pt idx="3">
                  <c:v>19142.809219245</c:v>
                </c:pt>
                <c:pt idx="4">
                  <c:v>20773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5"/>
        <c:axId val="897827433"/>
        <c:axId val="72496890"/>
      </c:barChart>
      <c:lineChart>
        <c:grouping val="stacked"/>
        <c:varyColors val="0"/>
        <c:ser>
          <c:idx val="1"/>
          <c:order val="1"/>
          <c:spPr>
            <a:ln w="19050" cap="flat" cmpd="sng" algn="ctr">
              <a:solidFill>
                <a:schemeClr val="accent2"/>
              </a:solidFill>
              <a:prstDash val="solid"/>
              <a:round/>
              <a:headEnd type="oval"/>
              <a:tailEnd type="oval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0.0517126334519573"/>
                  <c:y val="-0.0390770375883885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charset="-122"/>
                      <a:ea typeface="宋体" charset="-122"/>
                      <a:cs typeface="宋体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67081850533808"/>
                  <c:y val="-0.0446594715295869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charset="-122"/>
                      <a:ea typeface="宋体" charset="-122"/>
                      <a:cs typeface="宋体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18764845605701"/>
                  <c:y val="0.006188118811881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charset="-122"/>
                    <a:ea typeface="宋体" charset="-122"/>
                    <a:cs typeface="宋体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'[2021年统计公报经济指标图表.xls]"十三五"期间经济指标'!$C$2:$G$2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'[2021年统计公报经济指标图表.xls]"十三五"期间经济指标'!$C$19:$G$19</c:f>
              <c:numCache>
                <c:formatCode>0.0%</c:formatCode>
                <c:ptCount val="5"/>
                <c:pt idx="0">
                  <c:v>0.102</c:v>
                </c:pt>
                <c:pt idx="1">
                  <c:v>0.101</c:v>
                </c:pt>
                <c:pt idx="2">
                  <c:v>0.093</c:v>
                </c:pt>
                <c:pt idx="3">
                  <c:v>0.04483852128397</c:v>
                </c:pt>
                <c:pt idx="4">
                  <c:v>0.085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1"/>
        <c:axId val="946709471"/>
        <c:axId val="206104051"/>
      </c:lineChart>
      <c:catAx>
        <c:axId val="89782743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>
                    <a:alpha val="100000"/>
                  </a:sysClr>
                </a:solidFill>
                <a:latin typeface="宋体" charset="-122"/>
                <a:ea typeface="宋体" charset="-122"/>
                <a:cs typeface="宋体" charset="-122"/>
              </a:defRPr>
            </a:pPr>
          </a:p>
        </c:txPr>
        <c:crossAx val="72496890"/>
        <c:crosses val="autoZero"/>
        <c:auto val="0"/>
        <c:lblAlgn val="ctr"/>
        <c:lblOffset val="100"/>
        <c:noMultiLvlLbl val="0"/>
      </c:catAx>
      <c:valAx>
        <c:axId val="7249689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_);[Red]\(0\)" sourceLinked="0"/>
        <c:majorTickMark val="none"/>
        <c:minorTickMark val="none"/>
        <c:tickLblPos val="nextTo"/>
        <c:spPr>
          <a:ln w="3175" cap="flat" cmpd="sng" algn="ctr">
            <a:noFill/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>
                    <a:alpha val="100000"/>
                  </a:sysClr>
                </a:solidFill>
                <a:latin typeface="宋体" charset="-122"/>
                <a:ea typeface="宋体" charset="-122"/>
                <a:cs typeface="宋体" charset="-122"/>
              </a:defRPr>
            </a:pPr>
          </a:p>
        </c:txPr>
        <c:crossAx val="897827433"/>
        <c:crosses val="autoZero"/>
        <c:crossBetween val="between"/>
      </c:valAx>
      <c:catAx>
        <c:axId val="946709471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charset="-122"/>
                <a:ea typeface="宋体" charset="-122"/>
                <a:cs typeface="宋体" charset="-122"/>
              </a:defRPr>
            </a:pPr>
          </a:p>
        </c:txPr>
        <c:crossAx val="206104051"/>
        <c:crosses val="autoZero"/>
        <c:auto val="1"/>
        <c:lblAlgn val="ctr"/>
        <c:lblOffset val="100"/>
        <c:noMultiLvlLbl val="0"/>
      </c:catAx>
      <c:valAx>
        <c:axId val="206104051"/>
        <c:scaling>
          <c:orientation val="minMax"/>
        </c:scaling>
        <c:delete val="0"/>
        <c:axPos val="r"/>
        <c:numFmt formatCode="0.0%" sourceLinked="1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charset="-122"/>
                <a:ea typeface="宋体" charset="-122"/>
                <a:cs typeface="宋体" charset="-122"/>
              </a:defRPr>
            </a:pPr>
          </a:p>
        </c:txPr>
        <c:crossAx val="946709471"/>
        <c:crosses val="max"/>
        <c:crossBetween val="between"/>
      </c:valAx>
      <c:spPr>
        <a:noFill/>
        <a:ln w="3175">
          <a:solidFill>
            <a:srgbClr val="C0C0C0">
              <a:alpha val="100000"/>
            </a:srgbClr>
          </a:solidFill>
          <a:prstDash val="solid"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>
              <a:alpha val="100000"/>
            </a:srgbClr>
          </a:solidFill>
          <a:latin typeface="宋体" charset="-122"/>
          <a:ea typeface="宋体" charset="-122"/>
          <a:cs typeface="宋体" charset="-122"/>
        </a:defRPr>
      </a:pPr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0.04175</cdr:x>
      <cdr:y>0.064</cdr:y>
    </cdr:from>
    <cdr:to>
      <cdr:x>0.21525</cdr:x>
      <cdr:y>0.13775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238601" y="234615"/>
          <a:ext cx="991553" cy="270357"/>
        </a:xfrm>
        <a:prstGeom xmlns:a="http://schemas.openxmlformats.org/drawingml/2006/main" prst="rect">
          <a:avLst/>
        </a:prstGeom>
        <a:noFill/>
        <a:ln w="9525">
          <a:noFill/>
        </a:ln>
      </cdr:spPr>
    </cdr:sp>
  </cdr:relSizeAnchor>
  <cdr:relSizeAnchor xmlns:cdr="http://schemas.openxmlformats.org/drawingml/2006/chartDrawing">
    <cdr:from>
      <cdr:x>0</cdr:x>
      <cdr:y>0</cdr:y>
    </cdr:from>
    <cdr:to>
      <cdr:x>0.174222222222222</cdr:x>
      <cdr:y>0.103812824956672</cdr:y>
    </cdr:to>
    <cdr:sp>
      <cdr:nvSpPr>
        <cdr:cNvPr id="3" name="矩形 2"/>
        <cdr:cNvSpPr/>
      </cdr:nvSpPr>
      <cdr:spPr xmlns:a="http://schemas.openxmlformats.org/drawingml/2006/main">
        <a:xfrm xmlns:a="http://schemas.openxmlformats.org/drawingml/2006/main">
          <a:off x="0" y="0"/>
          <a:ext cx="995680" cy="380365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horzOverflow="clip" vert="horz" wrap="square" lIns="45720" tIns="45720" rIns="45720" bIns="45720" rtlCol="0" anchor="t" anchorCtr="0">
          <a:normAutofit/>
        </a:bodyPr>
        <a:lstStyle>
          <a:defPPr>
            <a:defRPr lang="zh-CN"/>
          </a:defPPr>
          <a:lvl1pPr marL="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9pPr>
        </a:lstStyle>
        <a:p>
          <a:r>
            <a:rPr lang="zh-CN" altLang="en-US" sz="1000"/>
            <a:t>单位：亿元</a:t>
          </a:r>
          <a:endParaRPr lang="zh-CN" altLang="en-US" sz="10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0.04175</cdr:x>
      <cdr:y>0.064</cdr:y>
    </cdr:from>
    <cdr:to>
      <cdr:x>0.21525</cdr:x>
      <cdr:y>0.13775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238601" y="234615"/>
          <a:ext cx="991553" cy="270357"/>
        </a:xfrm>
        <a:prstGeom xmlns:a="http://schemas.openxmlformats.org/drawingml/2006/main" prst="rect">
          <a:avLst/>
        </a:prstGeom>
        <a:noFill/>
        <a:ln w="9525">
          <a:noFill/>
        </a:ln>
      </cdr:spPr>
    </cdr:sp>
  </cdr:relSizeAnchor>
  <cdr:relSizeAnchor xmlns:cdr="http://schemas.openxmlformats.org/drawingml/2006/chartDrawing">
    <cdr:from>
      <cdr:x>0</cdr:x>
      <cdr:y>0</cdr:y>
    </cdr:from>
    <cdr:to>
      <cdr:x>0.174222222222222</cdr:x>
      <cdr:y>0.103812824956672</cdr:y>
    </cdr:to>
    <cdr:sp>
      <cdr:nvSpPr>
        <cdr:cNvPr id="3" name="矩形 2"/>
        <cdr:cNvSpPr/>
      </cdr:nvSpPr>
      <cdr:spPr xmlns:a="http://schemas.openxmlformats.org/drawingml/2006/main">
        <a:xfrm xmlns:a="http://schemas.openxmlformats.org/drawingml/2006/main">
          <a:off x="0" y="0"/>
          <a:ext cx="995680" cy="380365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horzOverflow="clip" vert="horz" wrap="square" lIns="45720" tIns="45720" rIns="45720" bIns="45720" rtlCol="0" anchor="t" anchorCtr="0">
          <a:normAutofit/>
        </a:bodyPr>
        <a:lstStyle>
          <a:defPPr>
            <a:defRPr lang="zh-CN"/>
          </a:defPPr>
          <a:lvl1pPr marL="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9pPr>
        </a:lstStyle>
        <a:p>
          <a:r>
            <a:rPr lang="zh-CN" altLang="en-US" sz="1000"/>
            <a:t>单位：元</a:t>
          </a:r>
          <a:endParaRPr lang="zh-CN" altLang="en-US" sz="10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0.04175</cdr:x>
      <cdr:y>0.064</cdr:y>
    </cdr:from>
    <cdr:to>
      <cdr:x>0.21525</cdr:x>
      <cdr:y>0.13775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238601" y="234615"/>
          <a:ext cx="991553" cy="270357"/>
        </a:xfrm>
        <a:prstGeom xmlns:a="http://schemas.openxmlformats.org/drawingml/2006/main" prst="rect">
          <a:avLst/>
        </a:prstGeom>
        <a:noFill/>
        <a:ln w="9525">
          <a:noFill/>
        </a:ln>
      </cdr:spPr>
    </cdr:sp>
  </cdr:relSizeAnchor>
  <cdr:relSizeAnchor xmlns:cdr="http://schemas.openxmlformats.org/drawingml/2006/chartDrawing">
    <cdr:from>
      <cdr:x>0.00333333333333333</cdr:x>
      <cdr:y>0</cdr:y>
    </cdr:from>
    <cdr:to>
      <cdr:x>0.177555555555556</cdr:x>
      <cdr:y>0.0880927656628591</cdr:y>
    </cdr:to>
    <cdr:sp>
      <cdr:nvSpPr>
        <cdr:cNvPr id="3" name="矩形 2"/>
        <cdr:cNvSpPr/>
      </cdr:nvSpPr>
      <cdr:spPr xmlns:a="http://schemas.openxmlformats.org/drawingml/2006/main">
        <a:xfrm xmlns:a="http://schemas.openxmlformats.org/drawingml/2006/main">
          <a:off x="19050" y="0"/>
          <a:ext cx="995680" cy="323215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horzOverflow="clip" vert="horz" wrap="square" lIns="45720" tIns="45720" rIns="45720" bIns="45720" rtlCol="0" anchor="t" anchorCtr="0">
          <a:normAutofit/>
        </a:bodyPr>
        <a:lstStyle>
          <a:defPPr>
            <a:defRPr lang="zh-CN"/>
          </a:defPPr>
          <a:lvl1pPr marL="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9pPr>
        </a:lstStyle>
        <a:p>
          <a:r>
            <a:rPr lang="zh-CN" altLang="en-US" sz="1000"/>
            <a:t>单位：万吨</a:t>
          </a:r>
          <a:endParaRPr lang="zh-CN" altLang="en-US" sz="10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0.04175</cdr:x>
      <cdr:y>0.064</cdr:y>
    </cdr:from>
    <cdr:to>
      <cdr:x>0.21525</cdr:x>
      <cdr:y>0.13775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238601" y="234615"/>
          <a:ext cx="991553" cy="270357"/>
        </a:xfrm>
        <a:prstGeom xmlns:a="http://schemas.openxmlformats.org/drawingml/2006/main" prst="rect">
          <a:avLst/>
        </a:prstGeom>
        <a:noFill/>
        <a:ln w="9525">
          <a:noFill/>
        </a:ln>
      </cdr:spPr>
    </cdr:sp>
  </cdr:relSizeAnchor>
  <cdr:relSizeAnchor xmlns:cdr="http://schemas.openxmlformats.org/drawingml/2006/chartDrawing">
    <cdr:from>
      <cdr:x>0</cdr:x>
      <cdr:y>0</cdr:y>
    </cdr:from>
    <cdr:to>
      <cdr:x>0.174222222222222</cdr:x>
      <cdr:y>0.0570190641247834</cdr:y>
    </cdr:to>
    <cdr:sp>
      <cdr:nvSpPr>
        <cdr:cNvPr id="3" name="矩形 2"/>
        <cdr:cNvSpPr/>
      </cdr:nvSpPr>
      <cdr:spPr xmlns:a="http://schemas.openxmlformats.org/drawingml/2006/main">
        <a:xfrm xmlns:a="http://schemas.openxmlformats.org/drawingml/2006/main">
          <a:off x="0" y="0"/>
          <a:ext cx="995680" cy="208915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horzOverflow="clip" vert="horz" wrap="square" lIns="45720" tIns="45720" rIns="45720" bIns="45720" rtlCol="0" anchor="t" anchorCtr="0">
          <a:normAutofit/>
        </a:bodyPr>
        <a:lstStyle/>
        <a:p>
          <a:r>
            <a:rPr lang="zh-CN" altLang="en-US" sz="1000"/>
            <a:t>单位：亿元</a:t>
          </a:r>
          <a:endParaRPr lang="zh-CN" altLang="en-US" sz="1000"/>
        </a:p>
      </cdr:txBody>
    </cdr:sp>
  </cdr:relSizeAnchor>
</c:userShap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5537</Words>
  <Characters>7219</Characters>
  <Lines>55</Lines>
  <Paragraphs>15</Paragraphs>
  <TotalTime>89</TotalTime>
  <ScaleCrop>false</ScaleCrop>
  <LinksUpToDate>false</LinksUpToDate>
  <CharactersWithSpaces>7370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2022-04-01T18:43:00Z</dcterms:created>
  <dc:creator>Administrator</dc:creator>
  <cp:lastModifiedBy>统计局综合科张鹏辉</cp:lastModifiedBy>
  <cp:lastPrinted>2022-04-20T06:53:00Z</cp:lastPrinted>
  <dcterms:modified xsi:type="dcterms:W3CDTF">2023-03-01T10:01:50Z</dcterms:modified>
  <dc:title>A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F2744493D8FD44C389CD11EE095EB198</vt:lpwstr>
  </property>
</Properties>
</file>