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  件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2016年黄标车淘汰任务分解表</w:t>
      </w:r>
    </w:p>
    <w:p>
      <w:pPr>
        <w:widowControl w:val="0"/>
        <w:wordWrap/>
        <w:adjustRightInd/>
        <w:snapToGrid/>
        <w:spacing w:before="0" w:after="0" w:line="1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sz w:val="44"/>
          <w:szCs w:val="44"/>
        </w:rPr>
      </w:pPr>
    </w:p>
    <w:tbl>
      <w:tblPr>
        <w:tblpPr w:leftFromText="180" w:rightFromText="180" w:vertAnchor="text" w:horzAnchor="page" w:tblpX="1912" w:tblpY="246"/>
        <w:tblOverlap w:val="never"/>
        <w:tblW w:w="8582" w:type="dxa"/>
        <w:jc w:val="lef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430"/>
        <w:gridCol w:w="1599"/>
        <w:gridCol w:w="1261"/>
        <w:gridCol w:w="1639"/>
        <w:gridCol w:w="1223"/>
      </w:tblGrid>
      <w:tr>
        <w:trPr>
          <w:trHeight w:val="455" w:hRule="atLeast"/>
          <w:jc w:val="left"/>
        </w:trPr>
        <w:tc>
          <w:tcPr>
            <w:tcW w:w="1430" w:type="dxa"/>
            <w:vMerge w:val="restart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单位</w:t>
            </w:r>
          </w:p>
        </w:tc>
        <w:tc>
          <w:tcPr>
            <w:tcW w:w="3029" w:type="dxa"/>
            <w:gridSpan w:val="2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营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运性质</w:t>
            </w:r>
          </w:p>
        </w:tc>
        <w:tc>
          <w:tcPr>
            <w:tcW w:w="2900" w:type="dxa"/>
            <w:gridSpan w:val="2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0"/>
              </w:rPr>
              <w:t>非营运性质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小计</w:t>
            </w:r>
          </w:p>
        </w:tc>
      </w:tr>
      <w:tr>
        <w:trPr>
          <w:trHeight w:val="385" w:hRule="atLeast"/>
          <w:jc w:val="left"/>
        </w:trPr>
        <w:tc>
          <w:tcPr>
            <w:tcW w:w="1430" w:type="dxa"/>
            <w:vMerge w:val="continue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  <w:t>正常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  <w:t>达到报废标准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  <w:t>正常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0"/>
                <w:szCs w:val="21"/>
              </w:rPr>
              <w:t>达到报废标准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郸城县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1167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9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278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161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1615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太康县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1955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430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232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2628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扶沟县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502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280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148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932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西华县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613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234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164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1015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商水县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1181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223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188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1595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淮阳县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1486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7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390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293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2176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沈丘县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3454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13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401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301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4169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项城市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1438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330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337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2115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川汇区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7401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26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668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453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85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48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东新区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110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47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15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173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开发区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4032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73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25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4130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泛  区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35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0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21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7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63</w:t>
            </w:r>
          </w:p>
        </w:tc>
      </w:tr>
      <w:tr>
        <w:trPr>
          <w:trHeight w:val="510" w:hRule="atLeast"/>
          <w:jc w:val="left"/>
        </w:trPr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合  计</w:t>
            </w:r>
          </w:p>
        </w:tc>
        <w:tc>
          <w:tcPr>
            <w:tcW w:w="1430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23374</w:t>
            </w:r>
          </w:p>
        </w:tc>
        <w:tc>
          <w:tcPr>
            <w:tcW w:w="159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86</w:t>
            </w:r>
          </w:p>
        </w:tc>
        <w:tc>
          <w:tcPr>
            <w:tcW w:w="1261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33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1639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1223" w:type="dxa"/>
            <w:vAlign w:val="center"/>
          </w:tcPr>
          <w:p>
            <w:pP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291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59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154" w:right="1474" w:bottom="2041" w:left="1587" w:header="851" w:footer="992" w:gutter="0"/>
      <w:paperSrc w:first="0" w:other="0"/>
      <w:cols w:space="0" w:num="1"/>
      <w:docGrid w:type="lines" w:linePitch="3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0000000000000000000"/>
    <w:charset w:val="86"/>
    <w:family w:val="auto"/>
    <w:pitch w:val="default"/>
    <w:sig w:usb0="800002BF" w:usb1="38CF7CFA" w:usb2="00000016" w:usb3="00000000" w:csb0="00040001" w:csb1="00000000"/>
  </w:font>
  <w:font w:name="@仿宋">
    <w:altName w:val="仿宋_GB2312"/>
    <w:panose1 w:val="00000000000000000000"/>
    <w:charset w:val="86"/>
    <w:family w:val="auto"/>
    <w:pitch w:val="default"/>
    <w:sig w:usb0="800002BF" w:usb1="38CF7CFA" w:usb2="0000001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</w:style>
  <w:style w:type="character" w:customStyle="1" w:styleId="3">
    <w:name w:val="标题 1 Char"/>
    <w:link w:val="2"/>
    <w:semiHidden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Printed>2016-05-23T11:02:31Z</cp:lastPrinted>
  <dcterms:modified xsi:type="dcterms:W3CDTF">2016-05-23T11:02:38Z</dcterms:modified>
  <dc:title>刘永君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