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Times New Roman" w:hAnsi="Times New Roman" w:eastAsia="黑体" w:cs="Times New Roman"/>
          <w:snapToGrid w:val="0"/>
          <w:color w:val="000000"/>
          <w:kern w:val="0"/>
          <w:sz w:val="30"/>
          <w:szCs w:val="30"/>
        </w:rPr>
      </w:pPr>
      <w:r>
        <w:rPr>
          <w:rFonts w:ascii="Times New Roman" w:hAnsi="Times New Roman" w:eastAsia="黑体" w:cs="Times New Roman"/>
          <w:snapToGrid w:val="0"/>
          <w:color w:val="000000"/>
          <w:kern w:val="0"/>
          <w:sz w:val="30"/>
          <w:szCs w:val="30"/>
        </w:rPr>
        <w:t>表1  主要发展主要指标（共2</w:t>
      </w:r>
      <w:r>
        <w:rPr>
          <w:rFonts w:hint="eastAsia" w:ascii="Times New Roman" w:hAnsi="Times New Roman" w:eastAsia="黑体" w:cs="Times New Roman"/>
          <w:snapToGrid w:val="0"/>
          <w:color w:val="000000"/>
          <w:kern w:val="0"/>
          <w:sz w:val="30"/>
          <w:szCs w:val="30"/>
        </w:rPr>
        <w:t>6</w:t>
      </w:r>
      <w:r>
        <w:rPr>
          <w:rFonts w:ascii="Times New Roman" w:hAnsi="Times New Roman" w:eastAsia="黑体" w:cs="Times New Roman"/>
          <w:snapToGrid w:val="0"/>
          <w:color w:val="000000"/>
          <w:kern w:val="0"/>
          <w:sz w:val="30"/>
          <w:szCs w:val="30"/>
        </w:rPr>
        <w:t>项）</w:t>
      </w:r>
    </w:p>
    <w:p>
      <w:pPr>
        <w:widowControl w:val="0"/>
        <w:wordWrap/>
        <w:adjustRightInd/>
        <w:snapToGrid/>
        <w:spacing w:before="0" w:after="0" w:line="200" w:lineRule="exact"/>
        <w:ind w:left="0" w:leftChars="0" w:right="0" w:firstLine="0" w:firstLineChars="0"/>
        <w:jc w:val="center"/>
        <w:textAlignment w:val="auto"/>
        <w:outlineLvl w:val="9"/>
        <w:rPr>
          <w:rFonts w:ascii="Times New Roman" w:hAnsi="Times New Roman" w:eastAsia="黑体" w:cs="Times New Roman"/>
          <w:snapToGrid w:val="0"/>
          <w:color w:val="000000"/>
          <w:kern w:val="0"/>
          <w:sz w:val="30"/>
          <w:szCs w:val="30"/>
        </w:rPr>
      </w:pPr>
    </w:p>
    <w:p>
      <w:pPr>
        <w:widowControl w:val="0"/>
        <w:wordWrap/>
        <w:adjustRightInd/>
        <w:snapToGrid/>
        <w:spacing w:before="0" w:after="0" w:line="100" w:lineRule="exact"/>
        <w:ind w:left="0" w:leftChars="0" w:right="0" w:firstLine="0" w:firstLineChars="0"/>
        <w:jc w:val="center"/>
        <w:textAlignment w:val="auto"/>
        <w:outlineLvl w:val="9"/>
        <w:rPr>
          <w:rFonts w:ascii="Times New Roman" w:hAnsi="Times New Roman" w:eastAsia="黑体" w:cs="Times New Roman"/>
          <w:snapToGrid w:val="0"/>
          <w:color w:val="000000"/>
          <w:kern w:val="0"/>
          <w:sz w:val="30"/>
          <w:szCs w:val="30"/>
        </w:rPr>
      </w:pPr>
    </w:p>
    <w:tbl>
      <w:tblPr>
        <w:tblW w:w="10000" w:type="dxa"/>
        <w:jc w:val="center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0"/>
        <w:gridCol w:w="4400"/>
        <w:gridCol w:w="1760"/>
        <w:gridCol w:w="1760"/>
        <w:gridCol w:w="1280"/>
      </w:tblGrid>
      <w:tr>
        <w:trPr>
          <w:trHeight w:val="454" w:hRule="atLeast"/>
          <w:jc w:val="center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Times New Roman" w:eastAsia="黑体" w:cs="Times New Roman"/>
                <w:snapToGrid w:val="0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4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Times New Roman" w:eastAsia="黑体" w:cs="Times New Roman"/>
                <w:snapToGrid w:val="0"/>
                <w:color w:val="000000"/>
                <w:kern w:val="0"/>
                <w:sz w:val="24"/>
                <w:szCs w:val="24"/>
              </w:rPr>
              <w:t>指标名称</w:t>
            </w:r>
          </w:p>
        </w:tc>
        <w:tc>
          <w:tcPr>
            <w:tcW w:w="1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  <w:t>2020</w:t>
            </w:r>
            <w:r>
              <w:rPr>
                <w:rFonts w:hint="eastAsia" w:ascii="黑体" w:hAnsi="Times New Roman" w:eastAsia="黑体" w:cs="Times New Roman"/>
                <w:snapToGrid w:val="0"/>
                <w:color w:val="000000"/>
                <w:kern w:val="0"/>
                <w:sz w:val="24"/>
                <w:szCs w:val="24"/>
              </w:rPr>
              <w:t>年目标值</w:t>
            </w:r>
          </w:p>
        </w:tc>
        <w:tc>
          <w:tcPr>
            <w:tcW w:w="1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  <w:t>2015</w:t>
            </w:r>
            <w:r>
              <w:rPr>
                <w:rFonts w:hint="eastAsia" w:ascii="黑体" w:hAnsi="Times New Roman" w:eastAsia="黑体" w:cs="Times New Roman"/>
                <w:snapToGrid w:val="0"/>
                <w:color w:val="000000"/>
                <w:kern w:val="0"/>
                <w:sz w:val="24"/>
                <w:szCs w:val="24"/>
              </w:rPr>
              <w:t>年基础值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Times New Roman" w:eastAsia="黑体" w:cs="Times New Roman"/>
                <w:snapToGrid w:val="0"/>
                <w:color w:val="000000"/>
                <w:kern w:val="0"/>
                <w:sz w:val="24"/>
                <w:szCs w:val="24"/>
              </w:rPr>
              <w:t>指标性质</w:t>
            </w:r>
          </w:p>
        </w:tc>
      </w:tr>
      <w:tr>
        <w:trPr>
          <w:trHeight w:val="425" w:hRule="atLeast"/>
          <w:jc w:val="center"/>
        </w:trPr>
        <w:tc>
          <w:tcPr>
            <w:tcW w:w="8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2"/>
              </w:rPr>
              <w:t>健康水平</w:t>
            </w:r>
          </w:p>
        </w:tc>
        <w:tc>
          <w:tcPr>
            <w:tcW w:w="4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2"/>
              </w:rPr>
              <w:t>人均期望寿命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2"/>
              </w:rPr>
              <w:t>(</w:t>
            </w: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2"/>
              </w:rPr>
              <w:t>岁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2"/>
              </w:rPr>
              <w:t>)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2"/>
              </w:rPr>
              <w:t>7</w:t>
            </w:r>
            <w:r>
              <w:rPr>
                <w:rFonts w:hint="eastAsia" w:ascii="Times New Roman" w:hAnsi="Times New Roman" w:cs="Times New Roman"/>
                <w:snapToGrid w:val="0"/>
                <w:color w:val="000000"/>
                <w:kern w:val="0"/>
                <w:sz w:val="22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2"/>
              </w:rPr>
              <w:t>7</w:t>
            </w:r>
            <w:r>
              <w:rPr>
                <w:rFonts w:hint="eastAsia" w:ascii="Times New Roman" w:hAnsi="Times New Roman" w:cs="Times New Roman"/>
                <w:snapToGrid w:val="0"/>
                <w:color w:val="000000"/>
                <w:kern w:val="0"/>
                <w:sz w:val="22"/>
              </w:rPr>
              <w:t>5.6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2"/>
              </w:rPr>
              <w:t>预期性</w:t>
            </w:r>
          </w:p>
        </w:tc>
      </w:tr>
      <w:tr>
        <w:trPr>
          <w:trHeight w:val="425" w:hRule="atLeast"/>
          <w:jc w:val="center"/>
        </w:trPr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2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2"/>
              </w:rPr>
              <w:t>婴儿死亡率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2"/>
              </w:rPr>
              <w:t>(‰)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2"/>
              </w:rPr>
              <w:t>≤4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snapToGrid w:val="0"/>
                <w:color w:val="000000"/>
                <w:kern w:val="0"/>
                <w:sz w:val="22"/>
              </w:rPr>
              <w:t>4.51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2"/>
              </w:rPr>
              <w:t>预期性</w:t>
            </w:r>
          </w:p>
        </w:tc>
      </w:tr>
      <w:tr>
        <w:trPr>
          <w:trHeight w:val="425" w:hRule="atLeast"/>
          <w:jc w:val="center"/>
        </w:trPr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2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2"/>
              </w:rPr>
              <w:t>5</w:t>
            </w: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2"/>
              </w:rPr>
              <w:t>岁以下儿童死亡率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2"/>
              </w:rPr>
              <w:t>(‰)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2"/>
              </w:rPr>
              <w:t>≤6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snapToGrid w:val="0"/>
                <w:color w:val="000000"/>
                <w:kern w:val="0"/>
                <w:sz w:val="22"/>
              </w:rPr>
              <w:t>6.23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2"/>
              </w:rPr>
              <w:t>预期性</w:t>
            </w:r>
          </w:p>
        </w:tc>
      </w:tr>
      <w:tr>
        <w:trPr>
          <w:trHeight w:val="425" w:hRule="atLeast"/>
          <w:jc w:val="center"/>
        </w:trPr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2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2"/>
              </w:rPr>
              <w:t>孕产妇死亡率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2"/>
              </w:rPr>
              <w:t>(/10</w:t>
            </w: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2"/>
              </w:rPr>
              <w:t>万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2"/>
              </w:rPr>
              <w:t>)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2"/>
              </w:rPr>
              <w:t>≤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2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2"/>
              </w:rPr>
              <w:t>1</w:t>
            </w:r>
            <w:r>
              <w:rPr>
                <w:rFonts w:hint="eastAsia" w:ascii="Times New Roman" w:hAnsi="Times New Roman" w:cs="Times New Roman"/>
                <w:snapToGrid w:val="0"/>
                <w:color w:val="000000"/>
                <w:kern w:val="0"/>
                <w:sz w:val="22"/>
              </w:rPr>
              <w:t>3.21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2"/>
              </w:rPr>
              <w:t>预期性</w:t>
            </w:r>
          </w:p>
        </w:tc>
      </w:tr>
      <w:tr>
        <w:trPr>
          <w:trHeight w:val="425" w:hRule="atLeast"/>
          <w:jc w:val="center"/>
        </w:trPr>
        <w:tc>
          <w:tcPr>
            <w:tcW w:w="80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  <w:sz w:val="22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sz w:val="22"/>
              </w:rPr>
              <w:t>疾病控制</w:t>
            </w:r>
          </w:p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both"/>
              <w:textAlignment w:val="auto"/>
              <w:outlineLvl w:val="9"/>
              <w:rPr>
                <w:rFonts w:ascii="宋体" w:hAnsi="宋体" w:cs="宋体"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2"/>
              </w:rPr>
              <w:t>居民健康素养水平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2"/>
              </w:rPr>
              <w:t>(%)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snapToGrid w:val="0"/>
                <w:color w:val="000000"/>
                <w:kern w:val="0"/>
                <w:sz w:val="22"/>
              </w:rPr>
              <w:t>20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2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2"/>
              </w:rPr>
              <w:t>预期性</w:t>
            </w:r>
          </w:p>
        </w:tc>
      </w:tr>
      <w:tr>
        <w:trPr>
          <w:trHeight w:val="425" w:hRule="atLeast"/>
          <w:jc w:val="center"/>
        </w:trPr>
        <w:tc>
          <w:tcPr>
            <w:tcW w:w="8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ascii="宋体" w:hAnsi="宋体" w:cs="宋体"/>
                <w:snapToGrid w:val="0"/>
                <w:color w:val="000000"/>
                <w:kern w:val="0"/>
                <w:sz w:val="22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2"/>
              </w:rPr>
              <w:t>以乡（镇、街道）为单位适龄儿童免疫规划疫苗接种率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2"/>
              </w:rPr>
              <w:t>(%)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2"/>
              </w:rPr>
              <w:t>≥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2"/>
              </w:rPr>
              <w:t>90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2"/>
              </w:rPr>
              <w:t>9</w:t>
            </w:r>
            <w:r>
              <w:rPr>
                <w:rFonts w:hint="eastAsia" w:ascii="Times New Roman" w:hAnsi="Times New Roman" w:cs="Times New Roman"/>
                <w:snapToGrid w:val="0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2"/>
              </w:rPr>
              <w:t>约束性</w:t>
            </w:r>
          </w:p>
        </w:tc>
      </w:tr>
      <w:tr>
        <w:trPr>
          <w:trHeight w:val="425" w:hRule="atLeast"/>
          <w:jc w:val="center"/>
        </w:trPr>
        <w:tc>
          <w:tcPr>
            <w:tcW w:w="8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存活的艾滋病病毒感染者和病人数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万人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≤0.95</w:t>
            </w:r>
          </w:p>
        </w:tc>
        <w:tc>
          <w:tcPr>
            <w:tcW w:w="1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0.59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预期性</w:t>
            </w:r>
          </w:p>
        </w:tc>
      </w:tr>
      <w:tr>
        <w:trPr>
          <w:trHeight w:val="425" w:hRule="atLeast"/>
          <w:jc w:val="center"/>
        </w:trPr>
        <w:tc>
          <w:tcPr>
            <w:tcW w:w="8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ascii="宋体" w:hAnsi="宋体" w:cs="宋体"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肺结核发病率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(/10</w:t>
            </w: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万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≤58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65.2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预期性</w:t>
            </w:r>
          </w:p>
        </w:tc>
      </w:tr>
      <w:tr>
        <w:trPr>
          <w:trHeight w:val="425" w:hRule="atLeast"/>
          <w:jc w:val="center"/>
        </w:trPr>
        <w:tc>
          <w:tcPr>
            <w:tcW w:w="80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ascii="宋体" w:hAnsi="宋体" w:cs="宋体"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慢性病防控核心信息人群知晓率（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%</w:t>
            </w: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预期性</w:t>
            </w:r>
          </w:p>
        </w:tc>
      </w:tr>
      <w:tr>
        <w:trPr>
          <w:trHeight w:val="425" w:hRule="atLeast"/>
          <w:jc w:val="center"/>
        </w:trPr>
        <w:tc>
          <w:tcPr>
            <w:tcW w:w="8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妇幼健康</w:t>
            </w:r>
          </w:p>
        </w:tc>
        <w:tc>
          <w:tcPr>
            <w:tcW w:w="4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孕产妇系统管理率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(%)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90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85.</w:t>
            </w:r>
            <w:r>
              <w:rPr>
                <w:rFonts w:hint="eastAsia"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约束性</w:t>
            </w:r>
          </w:p>
        </w:tc>
      </w:tr>
      <w:tr>
        <w:trPr>
          <w:trHeight w:val="425" w:hRule="atLeast"/>
          <w:jc w:val="center"/>
        </w:trPr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岁以下儿童系统管理率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(%)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90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8</w:t>
            </w:r>
            <w:r>
              <w:rPr>
                <w:rFonts w:hint="eastAsia"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4.63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约束性</w:t>
            </w:r>
          </w:p>
        </w:tc>
      </w:tr>
      <w:tr>
        <w:trPr>
          <w:trHeight w:val="425" w:hRule="atLeast"/>
          <w:jc w:val="center"/>
        </w:trPr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孕前优生健康检查目标人群覆盖率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(%)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80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 xml:space="preserve">80 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约束性</w:t>
            </w:r>
          </w:p>
        </w:tc>
      </w:tr>
      <w:tr>
        <w:trPr>
          <w:trHeight w:val="425" w:hRule="atLeast"/>
          <w:jc w:val="center"/>
        </w:trPr>
        <w:tc>
          <w:tcPr>
            <w:tcW w:w="8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医疗服务</w:t>
            </w:r>
          </w:p>
        </w:tc>
        <w:tc>
          <w:tcPr>
            <w:tcW w:w="4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二级综合医院平均住院日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天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7.63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8.38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约束性</w:t>
            </w:r>
          </w:p>
        </w:tc>
      </w:tr>
      <w:tr>
        <w:trPr>
          <w:trHeight w:val="425" w:hRule="atLeast"/>
          <w:jc w:val="center"/>
        </w:trPr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院内感染发生率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(%)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3.2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预期性</w:t>
            </w:r>
          </w:p>
        </w:tc>
      </w:tr>
      <w:tr>
        <w:trPr>
          <w:trHeight w:val="425" w:hRule="atLeast"/>
          <w:jc w:val="center"/>
        </w:trPr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30</w:t>
            </w: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天再住院率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(%)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≤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2.40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2.65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预期性</w:t>
            </w:r>
          </w:p>
        </w:tc>
      </w:tr>
      <w:tr>
        <w:trPr>
          <w:trHeight w:val="425" w:hRule="atLeast"/>
          <w:jc w:val="center"/>
        </w:trPr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门诊处方抗菌药物使用率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(%)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≤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≤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6.04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预期性</w:t>
            </w:r>
          </w:p>
        </w:tc>
      </w:tr>
      <w:tr>
        <w:trPr>
          <w:trHeight w:val="425" w:hRule="atLeast"/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计划</w:t>
            </w:r>
          </w:p>
        </w:tc>
        <w:tc>
          <w:tcPr>
            <w:tcW w:w="4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人口自然增长率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(‰)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4.94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预期性</w:t>
            </w:r>
          </w:p>
        </w:tc>
      </w:tr>
      <w:tr>
        <w:trPr>
          <w:trHeight w:val="425" w:hRule="atLeast"/>
          <w:jc w:val="center"/>
        </w:trPr>
        <w:tc>
          <w:tcPr>
            <w:tcW w:w="8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生育</w:t>
            </w:r>
          </w:p>
        </w:tc>
        <w:tc>
          <w:tcPr>
            <w:tcW w:w="4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出生人口性别比</w:t>
            </w: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≤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09.05</w:t>
            </w:r>
          </w:p>
        </w:tc>
        <w:tc>
          <w:tcPr>
            <w:tcW w:w="1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10.45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预期性</w:t>
            </w:r>
          </w:p>
        </w:tc>
      </w:tr>
      <w:tr>
        <w:trPr>
          <w:trHeight w:val="425" w:hRule="atLeast"/>
          <w:jc w:val="center"/>
        </w:trPr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计划生育家庭奖励扶助政策落实率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(%)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 xml:space="preserve">100 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 xml:space="preserve">98 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预期性</w:t>
            </w:r>
          </w:p>
        </w:tc>
      </w:tr>
      <w:tr>
        <w:trPr>
          <w:trHeight w:val="425" w:hRule="atLeast"/>
          <w:jc w:val="center"/>
        </w:trPr>
        <w:tc>
          <w:tcPr>
            <w:tcW w:w="8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医疗卫生服务体系</w:t>
            </w:r>
          </w:p>
        </w:tc>
        <w:tc>
          <w:tcPr>
            <w:tcW w:w="4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每千常住人口医疗卫生机构床位数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张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≤5</w:t>
            </w: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  <w:t>.5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4.17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预期性</w:t>
            </w:r>
          </w:p>
        </w:tc>
      </w:tr>
      <w:tr>
        <w:trPr>
          <w:trHeight w:val="425" w:hRule="atLeast"/>
          <w:jc w:val="center"/>
        </w:trPr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每千常住人口执业（助理）医师数（人）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2.</w:t>
            </w:r>
            <w:r>
              <w:rPr>
                <w:rFonts w:hint="eastAsia"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1.71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预期性</w:t>
            </w:r>
          </w:p>
        </w:tc>
      </w:tr>
      <w:tr>
        <w:trPr>
          <w:trHeight w:val="425" w:hRule="atLeast"/>
          <w:jc w:val="center"/>
        </w:trPr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每千常住人口注册护士数（人）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2.</w:t>
            </w:r>
            <w:r>
              <w:rPr>
                <w:rFonts w:hint="eastAsia"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1.44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预期性</w:t>
            </w:r>
          </w:p>
        </w:tc>
      </w:tr>
      <w:tr>
        <w:trPr>
          <w:trHeight w:val="425" w:hRule="atLeast"/>
          <w:jc w:val="center"/>
        </w:trPr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每千常住人口公共卫生人员数（人）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0.9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0.86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预期性</w:t>
            </w:r>
          </w:p>
        </w:tc>
      </w:tr>
      <w:tr>
        <w:trPr>
          <w:trHeight w:val="425" w:hRule="atLeast"/>
          <w:jc w:val="center"/>
        </w:trPr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每万常住人口全科医生数（人）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0.92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约束性</w:t>
            </w:r>
          </w:p>
        </w:tc>
      </w:tr>
      <w:tr>
        <w:trPr>
          <w:trHeight w:val="425" w:hRule="atLeast"/>
          <w:jc w:val="center"/>
        </w:trPr>
        <w:tc>
          <w:tcPr>
            <w:tcW w:w="8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医疗卫生保障</w:t>
            </w:r>
          </w:p>
        </w:tc>
        <w:tc>
          <w:tcPr>
            <w:tcW w:w="4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政策范围内住院费用医保支付比例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(%)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75</w:t>
            </w: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左右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7</w:t>
            </w:r>
            <w:r>
              <w:rPr>
                <w:rFonts w:hint="eastAsia"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左右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预期性</w:t>
            </w:r>
          </w:p>
        </w:tc>
      </w:tr>
      <w:tr>
        <w:trPr>
          <w:trHeight w:val="425" w:hRule="atLeast"/>
          <w:jc w:val="center"/>
        </w:trPr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个人支出占卫生总费用的比重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(%)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≤25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≤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napToGrid w:val="0"/>
                <w:color w:val="000000"/>
                <w:kern w:val="0"/>
                <w:sz w:val="20"/>
                <w:szCs w:val="20"/>
              </w:rPr>
              <w:t>约束性</w:t>
            </w:r>
          </w:p>
        </w:tc>
      </w:tr>
    </w:tbl>
    <w:p>
      <w:pPr>
        <w:widowControl w:val="0"/>
        <w:wordWrap/>
        <w:adjustRightInd/>
        <w:snapToGrid/>
        <w:spacing w:before="0" w:after="0" w:line="2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napToGrid w:val="0"/>
          <w:color w:val="000000"/>
          <w:kern w:val="0"/>
          <w:sz w:val="24"/>
          <w:szCs w:val="24"/>
        </w:rPr>
      </w:pPr>
    </w:p>
    <w:p>
      <w:pPr>
        <w:rPr>
          <w:rFonts w:hint="eastAsia" w:ascii="Times New Roman" w:hAnsi="Times New Roman" w:eastAsia="仿宋_GB2312" w:cs="Times New Roman"/>
          <w:snapToGrid w:val="0"/>
          <w:color w:val="000000"/>
          <w:kern w:val="0"/>
          <w:sz w:val="24"/>
          <w:szCs w:val="24"/>
        </w:rPr>
      </w:pPr>
      <w:r>
        <w:rPr>
          <w:rFonts w:hint="eastAsia" w:ascii="Times New Roman" w:hAnsi="Times New Roman" w:eastAsia="仿宋_GB2312" w:cs="Times New Roman"/>
          <w:snapToGrid w:val="0"/>
          <w:color w:val="000000"/>
          <w:kern w:val="0"/>
          <w:sz w:val="24"/>
          <w:szCs w:val="24"/>
        </w:rPr>
        <w:t>注：2015年个人支出占卫生总费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napToGrid w:val="0"/>
          <w:color w:val="000000"/>
          <w:kern w:val="0"/>
          <w:sz w:val="24"/>
          <w:szCs w:val="24"/>
        </w:rPr>
        <w:t>用的比重数据为2015年数据。</w:t>
      </w:r>
    </w:p>
    <w:p>
      <w:pPr>
        <w:wordWrap/>
        <w:adjustRightInd/>
        <w:snapToGrid/>
        <w:spacing w:before="0" w:after="0" w:line="512" w:lineRule="exact"/>
        <w:ind w:left="0" w:leftChars="0" w:right="0" w:firstLine="645"/>
        <w:textAlignment w:val="auto"/>
        <w:rPr>
          <w:rFonts w:ascii="Times New Roman" w:hAnsi="Times New Roman" w:eastAsia="仿宋_GB2312" w:cs="Times New Roman"/>
          <w:snapToGrid w:val="0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000000"/>
          <w:kern w:val="0"/>
          <w:sz w:val="36"/>
          <w:szCs w:val="36"/>
          <w:lang w:val="en-US" w:eastAsia="zh-CN"/>
        </w:rPr>
        <w:t xml:space="preserve">   </w:t>
      </w:r>
    </w:p>
    <w:sectPr>
      <w:headerReference r:id="rId4" w:type="default"/>
      <w:footerReference r:id="rId5" w:type="default"/>
      <w:pgSz w:w="11906" w:h="16838"/>
      <w:pgMar w:top="1418" w:right="1531" w:bottom="1418" w:left="1531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S Mincho">
    <w:panose1 w:val="02020609040205080304"/>
    <w:charset w:val="80"/>
    <w:family w:val="auto"/>
    <w:pitch w:val="default"/>
    <w:sig w:usb0="A00002BF" w:usb1="68C7FCFB" w:usb2="00000010" w:usb3="00000000" w:csb0="4002009F" w:csb1="DFD7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3"/>
      <w:jc w:val="center"/>
      <w:rPr>
        <w:rFonts w:ascii="Times New Roman" w:hAnsi="Times New Roman" w:cs="Times New Roman"/>
        <w:sz w:val="24"/>
        <w:szCs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5">
    <w:name w:val="heading 2"/>
    <w:basedOn w:val="1"/>
    <w:next w:val="1"/>
    <w:link w:val="6"/>
    <w:pPr>
      <w:keepNext/>
      <w:keepLines/>
      <w:spacing w:before="260" w:after="260" w:line="416" w:lineRule="auto"/>
      <w:outlineLvl w:val="1"/>
    </w:pPr>
    <w:rPr>
      <w:rFonts w:ascii="Cambria" w:hAnsi="Cambria" w:eastAsia="宋体" w:cs="黑体"/>
      <w:b/>
      <w:bCs/>
      <w:sz w:val="32"/>
      <w:szCs w:val="32"/>
    </w:rPr>
  </w:style>
  <w:style w:type="paragraph" w:styleId="7">
    <w:name w:val="heading 3"/>
    <w:basedOn w:val="1"/>
    <w:next w:val="1"/>
    <w:link w:val="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9">
    <w:name w:val="heading 4"/>
    <w:basedOn w:val="1"/>
    <w:next w:val="1"/>
    <w:link w:val="10"/>
    <w:pPr>
      <w:keepNext/>
      <w:keepLines/>
      <w:spacing w:before="280" w:after="290" w:line="376" w:lineRule="auto"/>
      <w:outlineLvl w:val="3"/>
    </w:pPr>
    <w:rPr>
      <w:rFonts w:ascii="Cambria" w:hAnsi="Cambria" w:eastAsia="宋体" w:cs="黑体"/>
      <w:b/>
      <w:bCs/>
      <w:sz w:val="28"/>
      <w:szCs w:val="28"/>
    </w:rPr>
  </w:style>
  <w:style w:type="character" w:default="1" w:styleId="4">
    <w:name w:val="Default Paragraph Font"/>
  </w:style>
  <w:style w:type="character" w:customStyle="1" w:styleId="3">
    <w:name w:val="标题 1 Char"/>
    <w:basedOn w:val="4"/>
    <w:link w:val="2"/>
    <w:semiHidden/>
    <w:rPr>
      <w:b/>
      <w:bCs/>
      <w:kern w:val="44"/>
      <w:sz w:val="44"/>
      <w:szCs w:val="44"/>
    </w:rPr>
  </w:style>
  <w:style w:type="character" w:customStyle="1" w:styleId="6">
    <w:name w:val="标题 2 Char"/>
    <w:basedOn w:val="4"/>
    <w:link w:val="5"/>
    <w:semiHidden/>
    <w:rPr>
      <w:rFonts w:ascii="Cambria" w:hAnsi="Cambria" w:eastAsia="宋体" w:cs="黑体"/>
      <w:b/>
      <w:bCs/>
      <w:sz w:val="32"/>
      <w:szCs w:val="32"/>
    </w:rPr>
  </w:style>
  <w:style w:type="character" w:customStyle="1" w:styleId="8">
    <w:name w:val="标题 3 Char"/>
    <w:basedOn w:val="4"/>
    <w:link w:val="7"/>
    <w:semiHidden/>
    <w:rPr>
      <w:b/>
      <w:bCs/>
      <w:sz w:val="32"/>
      <w:szCs w:val="32"/>
    </w:rPr>
  </w:style>
  <w:style w:type="character" w:customStyle="1" w:styleId="10">
    <w:name w:val="标题 4 Char"/>
    <w:basedOn w:val="4"/>
    <w:link w:val="9"/>
    <w:semiHidden/>
    <w:rPr>
      <w:rFonts w:ascii="Cambria" w:hAnsi="Cambria" w:eastAsia="宋体" w:cs="黑体"/>
      <w:b/>
      <w:bCs/>
      <w:sz w:val="28"/>
      <w:szCs w:val="28"/>
    </w:rPr>
  </w:style>
  <w:style w:type="character" w:customStyle="1" w:styleId="11">
    <w:name w:val="文档结构图 Char"/>
    <w:basedOn w:val="4"/>
    <w:link w:val="12"/>
    <w:semiHidden/>
    <w:rPr>
      <w:rFonts w:ascii="宋体" w:eastAsia="宋体"/>
      <w:sz w:val="18"/>
      <w:szCs w:val="18"/>
    </w:rPr>
  </w:style>
  <w:style w:type="paragraph" w:customStyle="1" w:styleId="12">
    <w:name w:val="文档结构图1"/>
    <w:basedOn w:val="1"/>
    <w:link w:val="11"/>
    <w:rPr>
      <w:rFonts w:ascii="宋体" w:eastAsia="宋体"/>
      <w:sz w:val="18"/>
      <w:szCs w:val="18"/>
    </w:rPr>
  </w:style>
  <w:style w:type="paragraph" w:styleId="13">
    <w:name w:val="footer"/>
    <w:basedOn w:val="1"/>
    <w:link w:val="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4">
    <w:name w:val="页脚 Char"/>
    <w:basedOn w:val="4"/>
    <w:link w:val="13"/>
    <w:semiHidden/>
    <w:rPr>
      <w:sz w:val="18"/>
      <w:szCs w:val="18"/>
    </w:rPr>
  </w:style>
  <w:style w:type="paragraph" w:styleId="15">
    <w:name w:val="header"/>
    <w:basedOn w:val="1"/>
    <w:link w:val="16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6">
    <w:name w:val="页眉 Char"/>
    <w:basedOn w:val="4"/>
    <w:link w:val="15"/>
    <w:semiHidden/>
    <w:rPr>
      <w:sz w:val="18"/>
      <w:szCs w:val="18"/>
    </w:rPr>
  </w:style>
  <w:style w:type="character" w:styleId="17">
    <w:name w:val="FollowedHyperlink"/>
    <w:basedOn w:val="4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styleId="18">
    <w:name w:val="Emphasis"/>
    <w:basedOn w:val="4"/>
    <w:rPr>
      <w:color w:val="CC0000"/>
    </w:rPr>
  </w:style>
  <w:style w:type="character" w:styleId="19">
    <w:name w:val="Hyperlink"/>
    <w:basedOn w:val="4"/>
    <w:rPr>
      <w:rFonts w:hint="eastAsia" w:ascii="宋体" w:hAnsi="宋体" w:eastAsia="宋体" w:cs="宋体"/>
      <w:color w:val="000000"/>
      <w:sz w:val="18"/>
      <w:szCs w:val="18"/>
      <w:u w:val="none"/>
    </w:rPr>
  </w:style>
  <w:style w:type="paragraph" w:customStyle="1" w:styleId="20">
    <w:name w:val="批注框文本 Char Char"/>
    <w:basedOn w:val="1"/>
    <w:link w:val="29"/>
    <w:rPr>
      <w:rFonts w:ascii="Calibri" w:hAnsi="Calibri" w:eastAsia="宋体" w:cs="黑体"/>
      <w:kern w:val="2"/>
      <w:sz w:val="18"/>
      <w:szCs w:val="18"/>
    </w:rPr>
  </w:style>
  <w:style w:type="paragraph" w:customStyle="1" w:styleId="21">
    <w:name w:val="普通(网站)1"/>
    <w:basedOn w:val="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2">
    <w:name w:val="列出段落1"/>
    <w:basedOn w:val="1"/>
    <w:pPr>
      <w:ind w:firstLine="420" w:firstLineChars="200"/>
    </w:pPr>
  </w:style>
  <w:style w:type="paragraph" w:customStyle="1" w:styleId="23">
    <w:name w:val="默认段落字体 Para Char Char Char Char Char Char Char"/>
    <w:basedOn w:val="1"/>
    <w:rPr>
      <w:rFonts w:ascii="Times New Roman" w:hAnsi="Times New Roman" w:cs="Times New Roman"/>
      <w:szCs w:val="20"/>
    </w:rPr>
  </w:style>
  <w:style w:type="paragraph" w:customStyle="1" w:styleId="24">
    <w:name w:val="reader-word-layer"/>
    <w:basedOn w:val="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5">
    <w:name w:val="列出段落2"/>
    <w:basedOn w:val="1"/>
    <w:pPr>
      <w:ind w:firstLine="420" w:firstLineChars="200"/>
    </w:pPr>
  </w:style>
  <w:style w:type="paragraph" w:customStyle="1" w:styleId="26">
    <w:name w:val="标题2"/>
    <w:basedOn w:val="1"/>
    <w:next w:val="1"/>
    <w:link w:val="30"/>
    <w:pPr>
      <w:jc w:val="center"/>
    </w:pPr>
    <w:rPr>
      <w:rFonts w:eastAsia="方正楷体_GBK"/>
      <w:snapToGrid w:val="0"/>
      <w:sz w:val="32"/>
      <w:lang w:val="en-US" w:eastAsia="zh-CN" w:bidi="ar-SA"/>
    </w:rPr>
  </w:style>
  <w:style w:type="character" w:customStyle="1" w:styleId="27">
    <w:name w:val="page number"/>
    <w:basedOn w:val="4"/>
    <w:rPr/>
  </w:style>
  <w:style w:type="character" w:customStyle="1" w:styleId="28">
    <w:name w:val="页码1"/>
    <w:basedOn w:val="4"/>
    <w:rPr/>
  </w:style>
  <w:style w:type="character" w:customStyle="1" w:styleId="29">
    <w:name w:val="批注框文本 Char Char Char Char"/>
    <w:basedOn w:val="4"/>
    <w:link w:val="20"/>
    <w:semiHidden/>
    <w:rPr>
      <w:rFonts w:ascii="Calibri" w:hAnsi="Calibri" w:eastAsia="宋体" w:cs="黑体"/>
      <w:kern w:val="2"/>
      <w:sz w:val="18"/>
      <w:szCs w:val="18"/>
    </w:rPr>
  </w:style>
  <w:style w:type="character" w:customStyle="1" w:styleId="30">
    <w:name w:val="标题2 Char Char"/>
    <w:basedOn w:val="4"/>
    <w:link w:val="26"/>
    <w:semiHidden/>
    <w:rPr>
      <w:rFonts w:eastAsia="方正楷体_GBK"/>
      <w:snapToGrid w:val="0"/>
      <w:sz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40</Pages>
  <Words>3248</Words>
  <Characters>18515</Characters>
  <Lines>154</Lines>
  <Paragraphs>43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2016-09-04T01:55:00Z</dcterms:created>
  <dc:creator>微软用户</dc:creator>
  <cp:lastPrinted>2017-07-08T03:15:00Z</cp:lastPrinted>
  <dcterms:modified xsi:type="dcterms:W3CDTF">2017-07-11T10:36:06Z</dcterms:modified>
  <dc:title>Administrator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