
<file path=[Content_Types].xml><?xml version="1.0" encoding="utf-8"?>
<Types xmlns="http://schemas.openxmlformats.org/package/2006/content-types">
  <Default Extension="xml" ContentType="application/xml"/>
  <Default Extension="bmp" ContentType="image/bmp"/>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sz w:val="32"/>
        </w:rPr>
        <mc:AlternateContent>
          <mc:Choice Requires="wps">
            <w:drawing>
              <wp:anchor distT="0" distB="0" distL="114300" distR="114300" simplePos="0" relativeHeight="251665408" behindDoc="0" locked="0" layoutInCell="1" allowOverlap="1">
                <wp:simplePos x="0" y="0"/>
                <wp:positionH relativeFrom="column">
                  <wp:posOffset>2540</wp:posOffset>
                </wp:positionH>
                <wp:positionV relativeFrom="paragraph">
                  <wp:posOffset>31115</wp:posOffset>
                </wp:positionV>
                <wp:extent cx="973455" cy="313055"/>
                <wp:effectExtent l="13970" t="13970" r="22225" b="15875"/>
                <wp:wrapNone/>
                <wp:docPr id="9" name="文本框 2"/>
                <wp:cNvGraphicFramePr/>
                <a:graphic xmlns:a="http://schemas.openxmlformats.org/drawingml/2006/main">
                  <a:graphicData uri="http://schemas.microsoft.com/office/word/2010/wordprocessingShape">
                    <wps:wsp>
                      <wps:cNvSpPr txBox="1"/>
                      <wps:spPr>
                        <a:xfrm>
                          <a:off x="0" y="0"/>
                          <a:ext cx="973455" cy="313055"/>
                        </a:xfrm>
                        <a:prstGeom prst="rect">
                          <a:avLst/>
                        </a:prstGeom>
                        <a:solidFill>
                          <a:srgbClr val="FFFFFF"/>
                        </a:solidFill>
                        <a:ln w="28575" cap="flat" cmpd="sng">
                          <a:pattFill prst="sphere">
                            <a:fgClr>
                              <a:srgbClr val="000000"/>
                            </a:fgClr>
                            <a:bgClr>
                              <a:srgbClr val="FFFFFF"/>
                            </a:bgClr>
                          </a:patt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32"/>
                                <w:szCs w:val="32"/>
                                <w:lang w:eastAsia="zh-CN"/>
                              </w:rPr>
                            </w:pPr>
                            <w:r>
                              <w:rPr>
                                <w:rFonts w:hint="eastAsia" w:ascii="楷体" w:hAnsi="楷体" w:eastAsia="楷体" w:cs="楷体"/>
                                <w:w w:val="100"/>
                                <w:sz w:val="28"/>
                                <w:szCs w:val="28"/>
                                <w:lang w:eastAsia="zh-CN"/>
                              </w:rPr>
                              <w:t>行业资</w:t>
                            </w:r>
                            <w:r>
                              <w:rPr>
                                <w:rFonts w:hint="eastAsia" w:ascii="楷体" w:hAnsi="楷体" w:eastAsia="楷体" w:cs="楷体"/>
                                <w:w w:val="90"/>
                                <w:sz w:val="28"/>
                                <w:szCs w:val="28"/>
                                <w:lang w:eastAsia="zh-CN"/>
                              </w:rPr>
                              <w:t>讯</w:t>
                            </w:r>
                          </w:p>
                        </w:txbxContent>
                      </wps:txbx>
                      <wps:bodyPr upright="1"/>
                    </wps:wsp>
                  </a:graphicData>
                </a:graphic>
              </wp:anchor>
            </w:drawing>
          </mc:Choice>
          <mc:Fallback>
            <w:pict>
              <v:shape id="文本框 2" o:spid="_x0000_s1026" o:spt="202" type="#_x0000_t202" style="position:absolute;left:0pt;margin-left:0.2pt;margin-top:2.45pt;height:24.65pt;width:76.65pt;z-index:251665408;mso-width-relative:page;mso-height-relative:page;" fillcolor="#FFFFFF" filled="t" stroked="t" coordsize="21600,21600" o:gfxdata="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anvMzVAAAABQEAAA8AAAAAAAAAAQAgAAAAIgAA&#10;AGRycy9kb3ducmV2LnhtbFBLAQIUABQAAAAIAIdO4kDjCPbPCwIAADMEAAAOAAAAAAAAAAEAIAAA&#10;ACQBAABkcnMvZTJvRG9jLnhtbFBLBQYAAAAABgAGAFkBAAChBQAAAAA=&#10;">
                <v:fill on="t" focussize="0,0"/>
                <v:stroke r:id="rId5" weight="2.25pt" color="#000000" color2="#FFFFFF" joinstyle="miter" o:relid="rId5" filltype="pattern"/>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32"/>
                          <w:szCs w:val="32"/>
                          <w:lang w:eastAsia="zh-CN"/>
                        </w:rPr>
                      </w:pPr>
                      <w:r>
                        <w:rPr>
                          <w:rFonts w:hint="eastAsia" w:ascii="楷体" w:hAnsi="楷体" w:eastAsia="楷体" w:cs="楷体"/>
                          <w:w w:val="100"/>
                          <w:sz w:val="28"/>
                          <w:szCs w:val="28"/>
                          <w:lang w:eastAsia="zh-CN"/>
                        </w:rPr>
                        <w:t>行业资</w:t>
                      </w:r>
                      <w:r>
                        <w:rPr>
                          <w:rFonts w:hint="eastAsia" w:ascii="楷体" w:hAnsi="楷体" w:eastAsia="楷体" w:cs="楷体"/>
                          <w:w w:val="90"/>
                          <w:sz w:val="28"/>
                          <w:szCs w:val="28"/>
                          <w:lang w:eastAsia="zh-CN"/>
                        </w:rPr>
                        <w:t>讯</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9"/>
        <w:rPr>
          <w:rFonts w:hint="eastAsia" w:ascii="仿宋" w:hAnsi="仿宋" w:eastAsia="仿宋" w:cs="仿宋"/>
          <w:sz w:val="28"/>
          <w:szCs w:val="22"/>
        </w:rPr>
      </w:pPr>
      <w:r>
        <w:rPr>
          <w:rFonts w:hint="eastAsia" w:ascii="方正小标宋简体" w:hAnsi="方正小标宋简体" w:eastAsia="方正小标宋简体" w:cs="方正小标宋简体"/>
          <w:b/>
          <w:bCs/>
          <w:sz w:val="32"/>
          <w:szCs w:val="32"/>
        </w:rPr>
        <w:t xml:space="preserve">2018年7月房屋市政工程生产安全事故情况通报 </w:t>
      </w:r>
    </w:p>
    <w:p>
      <w:pPr>
        <w:keepNext w:val="0"/>
        <w:keepLines w:val="0"/>
        <w:pageBreakBefore w:val="0"/>
        <w:widowControl w:val="0"/>
        <w:kinsoku/>
        <w:wordWrap/>
        <w:overflowPunct/>
        <w:topLinePunct w:val="0"/>
        <w:autoSpaceDE/>
        <w:autoSpaceDN/>
        <w:bidi w:val="0"/>
        <w:adjustRightInd/>
        <w:snapToGrid w:val="0"/>
        <w:spacing w:line="520" w:lineRule="exact"/>
        <w:ind w:firstLine="0" w:firstLineChars="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outlineLvl w:val="9"/>
        <w:rPr>
          <w:rFonts w:hint="eastAsia" w:ascii="仿宋" w:hAnsi="仿宋" w:eastAsia="仿宋" w:cs="仿宋"/>
          <w:sz w:val="28"/>
          <w:szCs w:val="22"/>
        </w:rPr>
      </w:pPr>
      <w:r>
        <w:rPr>
          <w:rFonts w:hint="eastAsia" w:ascii="仿宋" w:hAnsi="仿宋" w:eastAsia="仿宋" w:cs="仿宋"/>
          <w:sz w:val="28"/>
          <w:szCs w:val="22"/>
        </w:rPr>
        <w:t>各省、自治区住房城乡建设厅，直辖市建委，新疆生产建设兵团建设局：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根据全国房屋市政工程生产安全事故信息报送及统计分析系统统计数据，现将2018年7月房屋市政工程生产安全事故情况通报如下：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一、总体情况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lang w:eastAsia="zh-CN"/>
        </w:rPr>
      </w:pPr>
      <w:r>
        <w:rPr>
          <w:rFonts w:hint="eastAsia" w:ascii="仿宋" w:hAnsi="仿宋" w:eastAsia="仿宋" w:cs="仿宋"/>
          <w:sz w:val="28"/>
          <w:szCs w:val="22"/>
        </w:rPr>
        <w:t>2018年7月，全国共发生房屋市政工程生产安全事故83起、死亡90人，比去年同期事故起数增加10起、死亡人数减少5人，分别上升13.70%和下降5.26%（见图1）。</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lang w:eastAsia="zh-CN"/>
        </w:rPr>
        <w:drawing>
          <wp:anchor distT="0" distB="0" distL="114300" distR="114300" simplePos="0" relativeHeight="251666432" behindDoc="0" locked="0" layoutInCell="1" allowOverlap="0">
            <wp:simplePos x="0" y="0"/>
            <wp:positionH relativeFrom="column">
              <wp:posOffset>-59690</wp:posOffset>
            </wp:positionH>
            <wp:positionV relativeFrom="page">
              <wp:posOffset>5281295</wp:posOffset>
            </wp:positionV>
            <wp:extent cx="5351780" cy="3369945"/>
            <wp:effectExtent l="0" t="0" r="1270" b="1905"/>
            <wp:wrapTopAndBottom/>
            <wp:docPr id="1" name="图片 1" descr="W020180821015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020180821015201[1]"/>
                    <pic:cNvPicPr>
                      <a:picLocks noChangeAspect="1"/>
                    </pic:cNvPicPr>
                  </pic:nvPicPr>
                  <pic:blipFill>
                    <a:blip r:embed="rId6"/>
                    <a:srcRect l="10537" r="8731"/>
                    <a:stretch>
                      <a:fillRect/>
                    </a:stretch>
                  </pic:blipFill>
                  <pic:spPr>
                    <a:xfrm>
                      <a:off x="0" y="0"/>
                      <a:ext cx="5351780" cy="3369945"/>
                    </a:xfrm>
                    <a:prstGeom prst="rect">
                      <a:avLst/>
                    </a:prstGeom>
                  </pic:spPr>
                </pic:pic>
              </a:graphicData>
            </a:graphic>
          </wp:anchor>
        </w:drawing>
      </w:r>
      <w:r>
        <w:rPr>
          <w:rFonts w:hint="eastAsia" w:ascii="仿宋" w:hAnsi="仿宋" w:eastAsia="仿宋" w:cs="仿宋"/>
          <w:sz w:val="28"/>
          <w:szCs w:val="22"/>
        </w:rPr>
        <w:t>2018年7月，全国有27个省（区、市）发生房屋市政工程生产安全事故，分别是四川（13起、13人）、江苏（13起、13人）、安徽（7起、9人）、浙江（6起、6人）、广东（6起、6人）、贵州（3起、</w:t>
      </w:r>
      <w:r>
        <w:rPr>
          <w:rFonts w:hint="eastAsia" w:ascii="仿宋" w:hAnsi="仿宋" w:eastAsia="仿宋" w:cs="仿宋"/>
          <w:sz w:val="28"/>
          <w:szCs w:val="22"/>
        </w:rPr>
        <w:drawing>
          <wp:anchor distT="0" distB="0" distL="114300" distR="114300" simplePos="0" relativeHeight="251667456" behindDoc="0" locked="0" layoutInCell="1" allowOverlap="0">
            <wp:simplePos x="0" y="0"/>
            <wp:positionH relativeFrom="column">
              <wp:posOffset>-43180</wp:posOffset>
            </wp:positionH>
            <wp:positionV relativeFrom="paragraph">
              <wp:posOffset>2033270</wp:posOffset>
            </wp:positionV>
            <wp:extent cx="5367020" cy="6840855"/>
            <wp:effectExtent l="0" t="0" r="5080" b="17145"/>
            <wp:wrapTopAndBottom/>
            <wp:docPr id="2" name="图片 2" descr="W0201808210153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020180821015357[1]"/>
                    <pic:cNvPicPr>
                      <a:picLocks noChangeAspect="1"/>
                    </pic:cNvPicPr>
                  </pic:nvPicPr>
                  <pic:blipFill>
                    <a:blip r:embed="rId7"/>
                    <a:srcRect l="5720" r="6021"/>
                    <a:stretch>
                      <a:fillRect/>
                    </a:stretch>
                  </pic:blipFill>
                  <pic:spPr>
                    <a:xfrm>
                      <a:off x="0" y="0"/>
                      <a:ext cx="5367020" cy="6840855"/>
                    </a:xfrm>
                    <a:prstGeom prst="rect">
                      <a:avLst/>
                    </a:prstGeom>
                  </pic:spPr>
                </pic:pic>
              </a:graphicData>
            </a:graphic>
          </wp:anchor>
        </w:drawing>
      </w:r>
      <w:r>
        <w:rPr>
          <w:rFonts w:hint="eastAsia" w:ascii="仿宋" w:hAnsi="仿宋" w:eastAsia="仿宋" w:cs="仿宋"/>
          <w:sz w:val="28"/>
          <w:szCs w:val="22"/>
          <w:lang w:val="en-US" w:eastAsia="zh-CN"/>
        </w:rPr>
        <w:t>0</w:t>
      </w:r>
      <w:r>
        <w:rPr>
          <w:rFonts w:hint="eastAsia" w:ascii="仿宋" w:hAnsi="仿宋" w:eastAsia="仿宋" w:cs="仿宋"/>
          <w:sz w:val="28"/>
          <w:szCs w:val="22"/>
        </w:rPr>
        <w:t>5人）、宁夏（4起、4人）、江西（3起、3人）、重庆（3起、3人）、广西（2起、3人）、山东（2起、3人）、黑龙江（2起、3人）、辽宁（2起、2人）、湖南（2起、2人）、北京（2起、2人）、吉林（2起、2人）、陕西（1起、1人）、甘肃（1起、1人）、河北（1起、1人）、海南（1起、1人）、青海（1起、1人）、内蒙古（1起、1人）、河南（1起、1人）、天津（1起、1人）、云南（1起、1人）、福建（1起、1人）、湖北（1起、1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2018年1-7月，全国共发生房屋市政工程生产安全事故429起、死亡492人，比去年同期事故起数增加35起、死亡人数增加12人，分别上升8.88%和2.50%（见图2、图3）。其中，事故死亡人数较多的省（区、市）有江苏（59人）、广东（52人）、安徽（34人）、四川（29人）、浙江（27人）、河南（21人）、重庆（21人）、福建（18人）、江西（18人）、湖南（17人）、宁夏（17人）、广西（14人）、海南（14人）、贵州（14人）、黑龙江（13人）、湖北（12人）、北京（12人）、吉林（11人）、山东（11人）、河北（10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二、较大及以上事故情况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2018年7月，全国共发生房屋市政工程生产安全较大及以上事故1起、死亡3人，比去年同期事故起数减少2起、死亡人数减少15人，分别下降66.67%和83.33%。</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drawing>
          <wp:anchor distT="0" distB="0" distL="114300" distR="114300" simplePos="0" relativeHeight="251669504" behindDoc="0" locked="0" layoutInCell="1" allowOverlap="0">
            <wp:simplePos x="0" y="0"/>
            <wp:positionH relativeFrom="column">
              <wp:posOffset>-122555</wp:posOffset>
            </wp:positionH>
            <wp:positionV relativeFrom="page">
              <wp:posOffset>6167755</wp:posOffset>
            </wp:positionV>
            <wp:extent cx="5450205" cy="3429000"/>
            <wp:effectExtent l="0" t="0" r="17145" b="0"/>
            <wp:wrapTopAndBottom/>
            <wp:docPr id="4" name="图片 4" descr="W020180821015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020180821015437[1]"/>
                    <pic:cNvPicPr>
                      <a:picLocks noChangeAspect="1"/>
                    </pic:cNvPicPr>
                  </pic:nvPicPr>
                  <pic:blipFill>
                    <a:blip r:embed="rId8"/>
                    <a:srcRect l="5420" r="4963"/>
                    <a:stretch>
                      <a:fillRect/>
                    </a:stretch>
                  </pic:blipFill>
                  <pic:spPr>
                    <a:xfrm>
                      <a:off x="0" y="0"/>
                      <a:ext cx="5450205" cy="3429000"/>
                    </a:xfrm>
                    <a:prstGeom prst="rect">
                      <a:avLst/>
                    </a:prstGeom>
                  </pic:spPr>
                </pic:pic>
              </a:graphicData>
            </a:graphic>
          </wp:anchor>
        </w:drawing>
      </w:r>
      <w:r>
        <w:rPr>
          <w:rFonts w:hint="eastAsia" w:ascii="仿宋" w:hAnsi="仿宋" w:eastAsia="仿宋" w:cs="仿宋"/>
          <w:sz w:val="28"/>
          <w:szCs w:val="22"/>
        </w:rPr>
        <w:t>2018年7月，贵州发生1起房屋市政工程生产安全较大及以上事故，具体情况如下：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drawing>
          <wp:anchor distT="0" distB="0" distL="114300" distR="114300" simplePos="0" relativeHeight="251668480" behindDoc="0" locked="0" layoutInCell="1" allowOverlap="0">
            <wp:simplePos x="0" y="0"/>
            <wp:positionH relativeFrom="column">
              <wp:posOffset>3175</wp:posOffset>
            </wp:positionH>
            <wp:positionV relativeFrom="paragraph">
              <wp:posOffset>1986280</wp:posOffset>
            </wp:positionV>
            <wp:extent cx="5281930" cy="6765290"/>
            <wp:effectExtent l="0" t="0" r="13970" b="16510"/>
            <wp:wrapTopAndBottom/>
            <wp:docPr id="3" name="图片 3" descr="W020180821015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020180821015653[1]"/>
                    <pic:cNvPicPr>
                      <a:picLocks noChangeAspect="1"/>
                    </pic:cNvPicPr>
                  </pic:nvPicPr>
                  <pic:blipFill>
                    <a:blip r:embed="rId9"/>
                    <a:srcRect l="6998" r="6781"/>
                    <a:stretch>
                      <a:fillRect/>
                    </a:stretch>
                  </pic:blipFill>
                  <pic:spPr>
                    <a:xfrm>
                      <a:off x="0" y="0"/>
                      <a:ext cx="5281930" cy="6765290"/>
                    </a:xfrm>
                    <a:prstGeom prst="rect">
                      <a:avLst/>
                    </a:prstGeom>
                  </pic:spPr>
                </pic:pic>
              </a:graphicData>
            </a:graphic>
          </wp:anchor>
        </w:drawing>
      </w:r>
      <w:r>
        <w:rPr>
          <w:rFonts w:hint="eastAsia" w:ascii="仿宋" w:hAnsi="仿宋" w:eastAsia="仿宋" w:cs="仿宋"/>
          <w:sz w:val="28"/>
          <w:szCs w:val="22"/>
        </w:rPr>
        <w:t>7月2日，贵州省毕节市环境整治“19456”工程天河广场项目发生塔吊倒塌事故，造成3名施工人员死亡。该工程建设单位是毕节市天河城建开发投资有限公司（项目负责人李越）；施工总承包单位是毕节市城乡建设工程第二建筑有限公司（法定代表人张华，项目经理罗绪勇）；监理单位是贵州众志建设监理有限责任公司（法定代表人周彭，项目总监向太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2018年1-7月，全国共发生房屋市政工程生产安全较大及以上事故14起、死亡55人，比去年同期事故起数减少5起、死亡人数减少21人，分别下降26.32%和27.63%。(见图5、图6）</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三、较大及以上事故督办情况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截至2018年7月底，根据《房屋市政工程生产安全和质量事故查处督办暂行办法》（建质〔2011〕66号）和《住房城乡建设质量安全事故和其他重大突发事件督办处理办法》（建法〔2015〕37号）规定，河南省许昌市“1·24”较大事故发生地住房城乡建设主管部门尚未按要求报送事故查处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附件：1. 2018年7月房屋市政工程生产安全事故情况表</w:t>
      </w:r>
    </w:p>
    <w:p>
      <w:pPr>
        <w:keepNext w:val="0"/>
        <w:keepLines w:val="0"/>
        <w:pageBreakBefore w:val="0"/>
        <w:widowControl w:val="0"/>
        <w:kinsoku/>
        <w:wordWrap/>
        <w:overflowPunct/>
        <w:topLinePunct w:val="0"/>
        <w:autoSpaceDE/>
        <w:autoSpaceDN/>
        <w:bidi w:val="0"/>
        <w:adjustRightInd/>
        <w:snapToGrid/>
        <w:spacing w:line="520" w:lineRule="exact"/>
        <w:ind w:firstLine="1400" w:firstLineChars="500"/>
        <w:textAlignment w:val="auto"/>
        <w:outlineLvl w:val="9"/>
        <w:rPr>
          <w:rFonts w:hint="eastAsia" w:ascii="仿宋" w:hAnsi="仿宋" w:eastAsia="仿宋" w:cs="仿宋"/>
          <w:sz w:val="28"/>
          <w:szCs w:val="22"/>
        </w:rPr>
      </w:pPr>
      <w:r>
        <w:rPr>
          <w:rFonts w:hint="eastAsia" w:ascii="仿宋" w:hAnsi="仿宋" w:eastAsia="仿宋" w:cs="仿宋"/>
          <w:sz w:val="28"/>
          <w:szCs w:val="22"/>
        </w:rPr>
        <w:t xml:space="preserve">2. 2018年1-7月房屋市政工程生产安全事故情况表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center"/>
        <w:textAlignment w:val="auto"/>
        <w:outlineLvl w:val="9"/>
        <w:rPr>
          <w:rFonts w:hint="eastAsia" w:ascii="仿宋" w:hAnsi="仿宋" w:eastAsia="仿宋" w:cs="仿宋"/>
          <w:sz w:val="28"/>
          <w:szCs w:val="22"/>
        </w:rPr>
      </w:pPr>
      <w:r>
        <w:rPr>
          <w:rFonts w:hint="eastAsia" w:ascii="仿宋" w:hAnsi="仿宋" w:eastAsia="仿宋" w:cs="仿宋"/>
          <w:sz w:val="28"/>
          <w:szCs w:val="22"/>
          <w:lang w:val="en-US" w:eastAsia="zh-CN"/>
        </w:rPr>
        <w:t xml:space="preserve">               </w:t>
      </w:r>
      <w:r>
        <w:rPr>
          <w:rFonts w:hint="eastAsia" w:ascii="仿宋" w:hAnsi="仿宋" w:eastAsia="仿宋" w:cs="仿宋"/>
          <w:sz w:val="28"/>
          <w:szCs w:val="22"/>
        </w:rPr>
        <w:t>中华人民共和国住房和城乡建设部</w:t>
      </w:r>
    </w:p>
    <w:p>
      <w:pPr>
        <w:keepNext w:val="0"/>
        <w:keepLines w:val="0"/>
        <w:pageBreakBefore w:val="0"/>
        <w:widowControl w:val="0"/>
        <w:kinsoku/>
        <w:wordWrap/>
        <w:overflowPunct/>
        <w:topLinePunct w:val="0"/>
        <w:autoSpaceDE/>
        <w:autoSpaceDN/>
        <w:bidi w:val="0"/>
        <w:adjustRightInd/>
        <w:snapToGrid w:val="0"/>
        <w:spacing w:line="520" w:lineRule="exact"/>
        <w:ind w:firstLine="720" w:firstLineChars="200"/>
        <w:jc w:val="center"/>
        <w:textAlignment w:val="auto"/>
        <w:outlineLvl w:val="9"/>
        <w:rPr>
          <w:rFonts w:hint="eastAsia" w:ascii="仿宋" w:hAnsi="仿宋" w:eastAsia="仿宋" w:cs="仿宋"/>
          <w:sz w:val="28"/>
          <w:szCs w:val="22"/>
        </w:rPr>
      </w:pPr>
      <w:r>
        <w:rPr>
          <w:rFonts w:hint="eastAsia" w:ascii="仿宋" w:hAnsi="仿宋" w:eastAsia="仿宋" w:cs="仿宋"/>
          <w:spacing w:val="40"/>
          <w:sz w:val="28"/>
          <w:szCs w:val="22"/>
          <w:lang w:val="en-US" w:eastAsia="zh-CN"/>
        </w:rPr>
        <w:t xml:space="preserve">         </w:t>
      </w:r>
      <w:r>
        <w:rPr>
          <w:rFonts w:hint="eastAsia" w:ascii="仿宋" w:hAnsi="仿宋" w:eastAsia="仿宋" w:cs="仿宋"/>
          <w:spacing w:val="40"/>
          <w:sz w:val="28"/>
          <w:szCs w:val="22"/>
        </w:rPr>
        <w:t>安全生产管理委员会办公室</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600"/>
        <w:jc w:val="left"/>
        <w:textAlignment w:val="auto"/>
        <w:outlineLvl w:val="9"/>
      </w:pPr>
      <w:r>
        <w:rPr>
          <w:rFonts w:hint="eastAsia" w:ascii="仿宋" w:hAnsi="仿宋" w:eastAsia="仿宋" w:cs="仿宋"/>
          <w:sz w:val="28"/>
          <w:szCs w:val="22"/>
        </w:rPr>
        <w:t>2018年8月13日</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r>
        <w:rPr>
          <w:rFonts w:hint="eastAsia" w:eastAsiaTheme="minorEastAsia"/>
          <w:lang w:eastAsia="zh-CN"/>
        </w:rPr>
        <w:drawing>
          <wp:anchor distT="0" distB="0" distL="114300" distR="114300" simplePos="0" relativeHeight="251670528" behindDoc="0" locked="0" layoutInCell="1" allowOverlap="0">
            <wp:simplePos x="0" y="0"/>
            <wp:positionH relativeFrom="column">
              <wp:posOffset>-1861820</wp:posOffset>
            </wp:positionH>
            <wp:positionV relativeFrom="page">
              <wp:posOffset>2308860</wp:posOffset>
            </wp:positionV>
            <wp:extent cx="8670290" cy="5854065"/>
            <wp:effectExtent l="0" t="0" r="13335" b="16510"/>
            <wp:wrapTopAndBottom/>
            <wp:docPr id="5" name="图片 5" descr="组合 1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组合 1_页面_1"/>
                    <pic:cNvPicPr>
                      <a:picLocks noChangeAspect="1"/>
                    </pic:cNvPicPr>
                  </pic:nvPicPr>
                  <pic:blipFill>
                    <a:blip r:embed="rId10"/>
                    <a:srcRect l="3710" t="4463" r="3806" b="4275"/>
                    <a:stretch>
                      <a:fillRect/>
                    </a:stretch>
                  </pic:blipFill>
                  <pic:spPr>
                    <a:xfrm rot="16200000">
                      <a:off x="0" y="0"/>
                      <a:ext cx="8670290" cy="585406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r>
        <w:rPr>
          <w:rFonts w:hint="eastAsia" w:eastAsiaTheme="minorEastAsia"/>
          <w:lang w:eastAsia="zh-CN"/>
        </w:rPr>
        <w:drawing>
          <wp:anchor distT="0" distB="0" distL="114300" distR="114300" simplePos="0" relativeHeight="251671552" behindDoc="0" locked="0" layoutInCell="1" allowOverlap="0">
            <wp:simplePos x="0" y="0"/>
            <wp:positionH relativeFrom="column">
              <wp:posOffset>-1851025</wp:posOffset>
            </wp:positionH>
            <wp:positionV relativeFrom="page">
              <wp:posOffset>2367280</wp:posOffset>
            </wp:positionV>
            <wp:extent cx="8695055" cy="5781675"/>
            <wp:effectExtent l="0" t="0" r="9525" b="10795"/>
            <wp:wrapTopAndBottom/>
            <wp:docPr id="6" name="图片 6" descr="组合 1_页面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组合 1_页面_2"/>
                    <pic:cNvPicPr>
                      <a:picLocks noChangeAspect="1"/>
                    </pic:cNvPicPr>
                  </pic:nvPicPr>
                  <pic:blipFill>
                    <a:blip r:embed="rId11"/>
                    <a:srcRect l="4416" t="4895" r="4476" b="4745"/>
                    <a:stretch>
                      <a:fillRect/>
                    </a:stretch>
                  </pic:blipFill>
                  <pic:spPr>
                    <a:xfrm rot="16200000">
                      <a:off x="0" y="0"/>
                      <a:ext cx="8695055" cy="578167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pPr>
      <w:r>
        <w:rPr>
          <w:sz w:val="32"/>
        </w:rPr>
        <mc:AlternateContent>
          <mc:Choice Requires="wps">
            <w:drawing>
              <wp:anchor distT="0" distB="0" distL="114300" distR="114300" simplePos="0" relativeHeight="252059648" behindDoc="0" locked="0" layoutInCell="1" allowOverlap="1">
                <wp:simplePos x="0" y="0"/>
                <wp:positionH relativeFrom="column">
                  <wp:posOffset>31750</wp:posOffset>
                </wp:positionH>
                <wp:positionV relativeFrom="paragraph">
                  <wp:posOffset>18415</wp:posOffset>
                </wp:positionV>
                <wp:extent cx="932180" cy="472440"/>
                <wp:effectExtent l="13970" t="0" r="25400" b="27940"/>
                <wp:wrapNone/>
                <wp:docPr id="22" name="文本框 3"/>
                <wp:cNvGraphicFramePr/>
                <a:graphic xmlns:a="http://schemas.openxmlformats.org/drawingml/2006/main">
                  <a:graphicData uri="http://schemas.microsoft.com/office/word/2010/wordprocessingShape">
                    <wps:wsp>
                      <wps:cNvSpPr txBox="1"/>
                      <wps:spPr>
                        <a:xfrm>
                          <a:off x="0" y="0"/>
                          <a:ext cx="932180" cy="472440"/>
                        </a:xfrm>
                        <a:prstGeom prst="rect">
                          <a:avLst/>
                        </a:prstGeom>
                        <a:solidFill>
                          <a:srgbClr val="FFFFFF"/>
                        </a:solidFill>
                        <a:ln w="28575" cap="flat" cmpd="sng">
                          <a:pattFill prst="sphere">
                            <a:fgClr>
                              <a:srgbClr val="000000"/>
                            </a:fgClr>
                            <a:bgClr>
                              <a:srgbClr val="FFFFFF"/>
                            </a:bgClr>
                          </a:patt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百城建设提质工程</w:t>
                            </w:r>
                          </w:p>
                        </w:txbxContent>
                      </wps:txbx>
                      <wps:bodyPr upright="1"/>
                    </wps:wsp>
                  </a:graphicData>
                </a:graphic>
              </wp:anchor>
            </w:drawing>
          </mc:Choice>
          <mc:Fallback>
            <w:pict>
              <v:shape id="文本框 3" o:spid="_x0000_s1026" o:spt="202" type="#_x0000_t202" style="position:absolute;left:0pt;margin-left:2.5pt;margin-top:1.45pt;height:37.2pt;width:73.4pt;z-index:252059648;mso-width-relative:page;mso-height-relative:page;" fillcolor="#FFFFFF" filled="t" stroked="t" coordsize="21600,21600" o:gfxdata="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0oy8tUAAAAGAQAADwAAAAAAAAABACAA&#10;AAAiAAAAZHJzL2Rvd25yZXYueG1sUEsBAhQAFAAAAAgAh07iQGN+iD8QAgAANAQAAA4AAAAAAAAA&#10;AQAgAAAAJAEAAGRycy9lMm9Eb2MueG1sUEsFBgAAAAAGAAYAWQEAAKYFAAAAAA==&#10;">
                <v:fill on="t" focussize="0,0"/>
                <v:stroke r:id="rId5" weight="2.25pt" color="#000000" color2="#FFFFFF" joinstyle="miter" o:relid="rId5" filltype="pattern"/>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百城建设提质工程</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pPr>
    </w:p>
    <w:p>
      <w:pPr>
        <w:keepNext w:val="0"/>
        <w:keepLines w:val="0"/>
        <w:pageBreakBefore w:val="0"/>
        <w:widowControl w:val="0"/>
        <w:kinsoku/>
        <w:wordWrap/>
        <w:overflowPunct/>
        <w:topLinePunct w:val="0"/>
        <w:autoSpaceDE/>
        <w:autoSpaceDN/>
        <w:bidi w:val="0"/>
        <w:adjustRightInd/>
        <w:snapToGrid w:val="0"/>
        <w:spacing w:line="500" w:lineRule="atLeas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周口市举行中心城区百城建设提质工程观摩推进会</w:t>
      </w:r>
    </w:p>
    <w:p>
      <w:pPr>
        <w:keepNext w:val="0"/>
        <w:keepLines w:val="0"/>
        <w:pageBreakBefore w:val="0"/>
        <w:widowControl w:val="0"/>
        <w:kinsoku/>
        <w:wordWrap/>
        <w:overflowPunct/>
        <w:topLinePunct w:val="0"/>
        <w:autoSpaceDE/>
        <w:autoSpaceDN/>
        <w:bidi w:val="0"/>
        <w:adjustRightInd/>
        <w:snapToGrid w:val="0"/>
        <w:spacing w:line="500" w:lineRule="atLeast"/>
        <w:ind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val="0"/>
        <w:spacing w:line="500" w:lineRule="atLeast"/>
        <w:ind w:firstLine="560" w:firstLineChars="200"/>
        <w:jc w:val="both"/>
        <w:textAlignment w:val="auto"/>
        <w:outlineLvl w:val="9"/>
        <w:rPr>
          <w:rFonts w:hint="eastAsia" w:ascii="仿宋" w:hAnsi="仿宋" w:eastAsia="仿宋" w:cs="仿宋"/>
          <w:sz w:val="28"/>
          <w:szCs w:val="22"/>
        </w:rPr>
      </w:pPr>
      <w:r>
        <w:rPr>
          <w:rFonts w:hint="eastAsia" w:ascii="仿宋" w:hAnsi="仿宋" w:eastAsia="仿宋" w:cs="仿宋"/>
          <w:sz w:val="28"/>
          <w:szCs w:val="22"/>
        </w:rPr>
        <w:t>8月2日，副市长洪利民带领市百城建设提质工程和文明城市创建领导小组各工作组组长，中心城区四个区行政正职及市直有关单位部门负责人等，对川汇区、开发区、东新区，各重点项目进行观摩督导。</w:t>
      </w:r>
    </w:p>
    <w:p>
      <w:pPr>
        <w:keepNext w:val="0"/>
        <w:keepLines w:val="0"/>
        <w:pageBreakBefore w:val="0"/>
        <w:widowControl w:val="0"/>
        <w:kinsoku/>
        <w:wordWrap/>
        <w:overflowPunct/>
        <w:topLinePunct w:val="0"/>
        <w:autoSpaceDE/>
        <w:autoSpaceDN/>
        <w:bidi w:val="0"/>
        <w:adjustRightInd/>
        <w:snapToGrid w:val="0"/>
        <w:spacing w:line="500" w:lineRule="atLeast"/>
        <w:ind w:firstLine="560" w:firstLineChars="200"/>
        <w:jc w:val="both"/>
        <w:textAlignment w:val="auto"/>
        <w:outlineLvl w:val="9"/>
        <w:rPr>
          <w:rFonts w:hint="eastAsia" w:ascii="仿宋" w:hAnsi="仿宋" w:eastAsia="仿宋" w:cs="仿宋"/>
          <w:sz w:val="28"/>
          <w:szCs w:val="22"/>
        </w:rPr>
      </w:pPr>
      <w:r>
        <w:rPr>
          <w:rFonts w:hint="eastAsia" w:ascii="仿宋" w:hAnsi="仿宋" w:eastAsia="仿宋" w:cs="仿宋"/>
          <w:sz w:val="28"/>
          <w:szCs w:val="22"/>
        </w:rPr>
        <w:t>观摩团一行于当日上午在川汇区观摩了建设嘉苑安置区、周口高速北出入口、爱国主义教育基地、森林公园、新北环路、公厕、游园、老旧小区改造、七一中路、大庆路改造、沙河湾湿地公园等百城建设重点项目。下午在开发区、东新区观摩了铁路主题公园、迎宾大道改造、欢乐家园安置区、9座桥梁改造、万达城市广场、中心城区水系治理、植物园、引黄调蓄工程、泰和家园安置区、建业绿色生态基地、赵寨房屋征迁等一批百城建设重点项目。通过开展本次项目观摩活动，观摩组一行切身体会到了我市实施“百城提质”这一年多以来的发展变化，感受到了我市在基础设施提升、生态水系治理、棚户区改造等方面取得的进展。</w:t>
      </w:r>
    </w:p>
    <w:p>
      <w:pPr>
        <w:keepNext w:val="0"/>
        <w:keepLines w:val="0"/>
        <w:pageBreakBefore w:val="0"/>
        <w:widowControl w:val="0"/>
        <w:kinsoku/>
        <w:wordWrap/>
        <w:overflowPunct/>
        <w:topLinePunct w:val="0"/>
        <w:autoSpaceDE/>
        <w:autoSpaceDN/>
        <w:bidi w:val="0"/>
        <w:adjustRightInd/>
        <w:snapToGrid w:val="0"/>
        <w:spacing w:line="500" w:lineRule="atLeast"/>
        <w:ind w:firstLine="560" w:firstLineChars="200"/>
        <w:jc w:val="both"/>
        <w:textAlignment w:val="auto"/>
        <w:outlineLvl w:val="9"/>
        <w:rPr>
          <w:rFonts w:hint="eastAsia" w:ascii="仿宋" w:hAnsi="仿宋" w:eastAsia="仿宋" w:cs="仿宋"/>
          <w:sz w:val="28"/>
          <w:szCs w:val="22"/>
        </w:rPr>
      </w:pPr>
      <w:r>
        <w:rPr>
          <w:rFonts w:hint="eastAsia" w:ascii="仿宋" w:hAnsi="仿宋" w:eastAsia="仿宋" w:cs="仿宋"/>
          <w:sz w:val="28"/>
          <w:szCs w:val="22"/>
        </w:rPr>
        <w:t>8月3曰上午，市政府召开百城建设提质工程推进会。洪利民副市长要求，要牢记目标、夯实责任、大干快上、添彩周口，各业主单位要克服困难、通力合作、全力以赴、精心组织、明确责任、加强领导，市直有关部门对待各项目单位要一路绿灯，搞好服务，确保各项目顺利推进，为周口市增光添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市长丁福浩带队观摩中心城区百城建设提质工程重点项目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8月13日下午，周口市市长丁福浩带队观摩中心城区百城建设提质工程重点项目。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周口市市长丁福浩、常务副市长吉建军、副市长洪利民、市政府秘书长张继林、副秘书长孙鸿俊、王红涛，市委宣传部副部长刘淑君，中心城区四区行政正职及市直有关单位主要负责同志组成的观摩团先后来到东新区棚改征迁项目（赵寨征迁点）、东新区棚改安置区建设（顺河家园）、铁路公园、关帝庙周边改造、贾鲁嘉苑C区、周口森林公园、爱国主义教育基地、东新区万达广场、流沙河水系治理工程、周口高速北站、周口植物园、泰和家园、引黄调蓄工程、周口高速东站、建业绿色基地等项目实地观摩中心城区百城建设提质工程重点项目建设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每到一处，观摩团一行都认真听取关于项目建设情况的具体汇报，并深入施工现场详细了解项目进展情况。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通过实地观摩，市长丁福浩要求各项目业主单位紧抓项目建设进度和工程质量，为全市的百城建设提质工程作出自己的贡献，为周口面貌增光添彩。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观摩活动结束后，与会人员连夜召开推进会，市长丁福浩听取了项目进展情况和存在问题汇报，对下一步工作进行了安排部署，要求各项目责任单位对照目标找差距，日夜连干赶进度，形成建设施工高潮。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rPr>
      </w:pPr>
      <w:r>
        <w:rPr>
          <w:sz w:val="32"/>
        </w:rPr>
        <mc:AlternateContent>
          <mc:Choice Requires="wps">
            <w:drawing>
              <wp:anchor distT="0" distB="0" distL="114300" distR="114300" simplePos="0" relativeHeight="254072832" behindDoc="0" locked="0" layoutInCell="1" allowOverlap="1">
                <wp:simplePos x="0" y="0"/>
                <wp:positionH relativeFrom="column">
                  <wp:posOffset>8890</wp:posOffset>
                </wp:positionH>
                <wp:positionV relativeFrom="paragraph">
                  <wp:posOffset>50165</wp:posOffset>
                </wp:positionV>
                <wp:extent cx="953135" cy="303530"/>
                <wp:effectExtent l="14605" t="13970" r="22860" b="25400"/>
                <wp:wrapNone/>
                <wp:docPr id="14" name="文本框 4"/>
                <wp:cNvGraphicFramePr/>
                <a:graphic xmlns:a="http://schemas.openxmlformats.org/drawingml/2006/main">
                  <a:graphicData uri="http://schemas.microsoft.com/office/word/2010/wordprocessingShape">
                    <wps:wsp>
                      <wps:cNvSpPr txBox="1"/>
                      <wps:spPr>
                        <a:xfrm>
                          <a:off x="0" y="0"/>
                          <a:ext cx="953135" cy="303530"/>
                        </a:xfrm>
                        <a:prstGeom prst="rect">
                          <a:avLst/>
                        </a:prstGeom>
                        <a:solidFill>
                          <a:srgbClr val="FFFFFF"/>
                        </a:solidFill>
                        <a:ln w="28575" cap="flat" cmpd="sng">
                          <a:pattFill prst="sphere">
                            <a:fgClr>
                              <a:srgbClr val="000000"/>
                            </a:fgClr>
                            <a:bgClr>
                              <a:srgbClr val="FFFFFF"/>
                            </a:bgClr>
                          </a:patt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市场动态</w:t>
                            </w:r>
                          </w:p>
                        </w:txbxContent>
                      </wps:txbx>
                      <wps:bodyPr upright="1"/>
                    </wps:wsp>
                  </a:graphicData>
                </a:graphic>
              </wp:anchor>
            </w:drawing>
          </mc:Choice>
          <mc:Fallback>
            <w:pict>
              <v:shape id="文本框 4" o:spid="_x0000_s1026" o:spt="202" type="#_x0000_t202" style="position:absolute;left:0pt;margin-left:0.7pt;margin-top:3.95pt;height:23.9pt;width:75.05pt;z-index:254072832;mso-width-relative:page;mso-height-relative:page;" fillcolor="#FFFFFF" filled="t" stroked="t" coordsize="21600,21600" o:gfxdata="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siedMAAAAGAQAADwAAAAAAAAABACAAAAAi&#10;AAAAZHJzL2Rvd25yZXYueG1sUEsBAhQAFAAAAAgAh07iQGu3HUUPAgAANAQAAA4AAAAAAAAAAQAg&#10;AAAAIgEAAGRycy9lMm9Eb2MueG1sUEsFBgAAAAAGAAYAWQEAAKMFAAAAAA==&#10;">
                <v:fill on="t" focussize="0,0"/>
                <v:stroke r:id="rId5" weight="2.25pt" color="#000000" color2="#FFFFFF" joinstyle="miter" o:relid="rId5" filltype="pattern"/>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市场动态</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lang w:eastAsia="zh-CN"/>
        </w:rPr>
      </w:pPr>
      <w:r>
        <w:rPr>
          <w:rFonts w:hint="eastAsia" w:ascii="方正小标宋简体" w:hAnsi="方正小标宋简体" w:eastAsia="方正小标宋简体" w:cs="方正小标宋简体"/>
          <w:b/>
          <w:bCs/>
          <w:sz w:val="32"/>
          <w:szCs w:val="32"/>
          <w:lang w:eastAsia="zh-CN"/>
        </w:rPr>
        <w:t>周口市2018年1--8月份房地产交易情况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lang w:eastAsia="zh-CN"/>
        </w:rPr>
      </w:pPr>
    </w:p>
    <w:p>
      <w:pPr>
        <w:keepNext w:val="0"/>
        <w:keepLines w:val="0"/>
        <w:pageBreakBefore w:val="0"/>
        <w:widowControl w:val="0"/>
        <w:kinsoku/>
        <w:wordWrap/>
        <w:overflowPunct/>
        <w:topLinePunct w:val="0"/>
        <w:autoSpaceDE/>
        <w:autoSpaceDN/>
        <w:bidi w:val="0"/>
        <w:adjustRightInd/>
        <w:snapToGrid w:val="0"/>
        <w:spacing w:line="500" w:lineRule="atLeast"/>
        <w:ind w:firstLine="560" w:firstLineChars="200"/>
        <w:jc w:val="both"/>
        <w:textAlignment w:val="auto"/>
        <w:outlineLvl w:val="9"/>
        <w:rPr>
          <w:rFonts w:hint="eastAsia" w:ascii="仿宋" w:hAnsi="仿宋" w:eastAsia="仿宋" w:cs="仿宋"/>
          <w:sz w:val="28"/>
          <w:szCs w:val="22"/>
        </w:rPr>
      </w:pPr>
      <w:r>
        <w:rPr>
          <w:rFonts w:hint="eastAsia" w:ascii="仿宋" w:hAnsi="仿宋" w:eastAsia="仿宋" w:cs="仿宋"/>
          <w:sz w:val="28"/>
          <w:szCs w:val="22"/>
          <w:lang w:eastAsia="zh-CN"/>
        </w:rPr>
        <w:t>2018年8月份，中心城区批准商品房预售面积41.84万平方米，同比增长1873%，环比增长92.5%。其中，批准商品住房预售面积41.50万平方米，同比增长2742%，环比增长106.3%。商品房成交面积21.79万平方米，同比增长102.3%，环比下降7.9%，成交金额13.67亿元，同比增长169.1%，环比下降6.4%，成交均价6272／平方米，同比上涨32.9%，环比上涨1.7%。其中，商品住房成交面积18.63万平方米，同比增长85.7%，环比下降17.4%，成交金额11.26亿元，同比增长161.1%，环比下降17.8%，成交均价6044元／平方米，同比上涨40.5%，环比下降0.4%。商品住房库存4588套，与7月份相比，增加1683套。</w:t>
      </w:r>
    </w:p>
    <w:p/>
    <w:p/>
    <w:p>
      <w:r>
        <w:rPr>
          <w:sz w:val="32"/>
        </w:rPr>
        <mc:AlternateContent>
          <mc:Choice Requires="wps">
            <w:drawing>
              <wp:anchor distT="0" distB="0" distL="114300" distR="114300" simplePos="0" relativeHeight="256668672" behindDoc="0" locked="0" layoutInCell="1" allowOverlap="1">
                <wp:simplePos x="0" y="0"/>
                <wp:positionH relativeFrom="column">
                  <wp:posOffset>43815</wp:posOffset>
                </wp:positionH>
                <wp:positionV relativeFrom="paragraph">
                  <wp:posOffset>57150</wp:posOffset>
                </wp:positionV>
                <wp:extent cx="1316990" cy="303530"/>
                <wp:effectExtent l="13970" t="13970" r="21590" b="25400"/>
                <wp:wrapNone/>
                <wp:docPr id="12" name="文本框 5"/>
                <wp:cNvGraphicFramePr/>
                <a:graphic xmlns:a="http://schemas.openxmlformats.org/drawingml/2006/main">
                  <a:graphicData uri="http://schemas.microsoft.com/office/word/2010/wordprocessingShape">
                    <wps:wsp>
                      <wps:cNvSpPr txBox="1"/>
                      <wps:spPr>
                        <a:xfrm>
                          <a:off x="0" y="0"/>
                          <a:ext cx="1316990" cy="303530"/>
                        </a:xfrm>
                        <a:prstGeom prst="rect">
                          <a:avLst/>
                        </a:prstGeom>
                        <a:solidFill>
                          <a:srgbClr val="FFFFFF"/>
                        </a:solidFill>
                        <a:ln w="28575" cap="flat" cmpd="sng">
                          <a:pattFill prst="sphere">
                            <a:fgClr>
                              <a:srgbClr val="000000"/>
                            </a:fgClr>
                            <a:bgClr>
                              <a:srgbClr val="FFFFFF"/>
                            </a:bgClr>
                          </a:patt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市局工作动态</w:t>
                            </w:r>
                          </w:p>
                        </w:txbxContent>
                      </wps:txbx>
                      <wps:bodyPr upright="1"/>
                    </wps:wsp>
                  </a:graphicData>
                </a:graphic>
              </wp:anchor>
            </w:drawing>
          </mc:Choice>
          <mc:Fallback>
            <w:pict>
              <v:shape id="文本框 5" o:spid="_x0000_s1026" o:spt="202" type="#_x0000_t202" style="position:absolute;left:0pt;margin-left:3.45pt;margin-top:4.5pt;height:23.9pt;width:103.7pt;z-index:256668672;mso-width-relative:page;mso-height-relative:page;" fillcolor="#FFFFFF" filled="t" stroked="t" coordsize="21600,21600" o:gfxdata="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aqrbPWAAAABgEAAA8AAAAAAAAAAQAg&#10;AAAAIgAAAGRycy9kb3ducmV2LnhtbFBLAQIUABQAAAAIAIdO4kCBQjTnEAIAADUEAAAOAAAAAAAA&#10;AAEAIAAAACUBAABkcnMvZTJvRG9jLnhtbFBLBQYAAAAABgAGAFkBAACnBQAAAAA=&#10;">
                <v:fill on="t" focussize="0,0"/>
                <v:stroke r:id="rId5" weight="2.25pt" color="#000000" color2="#FFFFFF" joinstyle="miter" o:relid="rId5" filltype="pattern"/>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市局工作动态</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市住建局到经济开发区对工业企业开展上门主动服务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为贯彻8月3日市委中心城区重点企业座谈会会议精神，落实放管服工作要求，8月6日上午，由市住建局副局长陈心宇带队，带领政策法规科、行政审批科、建筑管理科、质量监督站、安全监督站、清欠办等相关科室和单位负责同志，主动到经济开发区现场办公，上门服务。开发区管委会书记田林到会，管委会副主任李鹏主持会议，开发区部分企业参加了座谈。</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副局长陈心宇表示，由于历史原因，受各种因素限制，产生了一些遗留问题。根据“放管服”工作要求，我局对现在正在办理手续的企业进行一对一面对面的辅导，帮助解决遗留问题，我们本着“存在须合规、质量要合格、使用须合理”的原则，确定了整体解决思路：一是程序简便易行、行得通；二是维护建筑市场秩序，落实建筑工程质量安全终身责任制，明确项目全生命周期内五方参建单位的主体责任;三是检验已建工程的质量和结构安全。坚决不能因为解决问题产生新的遗留问题；另外，对将要建设的项目，我局针对项目手续办理提供咨询和帮助，帮助企业规范手续，对于市级以上重点工程，如果短期内无法提供个别前置手续又需提前开工建设，我局将辅导企业进行提前介入监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r>
        <w:rPr>
          <w:rFonts w:hint="eastAsia" w:ascii="仿宋" w:hAnsi="仿宋" w:eastAsia="仿宋" w:cs="仿宋"/>
          <w:sz w:val="28"/>
          <w:szCs w:val="22"/>
        </w:rPr>
        <w:t>通过与益海粮油集团、五得利集团、娃哈哈集团认真对接，对症下药，分别拿出了解决方案：益海粮油集团、五得利集团情况基本相同，因项目建设时间久远，勘察、设计、施工、监理等参建单位不容易联系，我局提出建设单位只要提供几家参建单位名单，由我们主管部门出面督促他们履行相关职责。娃哈哈集团制约手续办理的因素是：项目建设五大责任主体之一“宿迁市建设工程（集团）有限公司”经营不善破产，目前无法联系到相关负责人到场验收。陈心宇局长承诺，我局将更新验收方式，采取远程视频方式进行，之后带相关文字及影像资料到项目经理所在地，让其配合验收，完成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周口市住房和城乡建设局召开</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“双随机一公开”工作推进会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2018年8月15日上午，副局长薛景松召开了“双随机一公开”工作推进会，传达贯彻了全市“双随机一公开”会议精神，对下一步工作进行了研究部署。</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会上，参加会议的科室、单位对自身工作开展情况做了简要汇报，就下一步“双随机一公开”监管工作的开展进行了认真讨论，提出了改进工作的意见建议。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薛景松副局长要求，相关科室要认真查找开展“双随机一公开”工作存在的问题和困难，按照科室职能分工，通力合作，积极探索落实好“双随机一公开”工作的机制，持续深入推进监管工作；对现有“双随机一公开”责任分工情况，要结合实际进行改进，确保工作开展更加科学、有效。</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周口市住房和城乡建设局全力以赴做好</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十八号台风“温比亚”防御工作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根据市防</w:t>
      </w:r>
      <w:r>
        <w:rPr>
          <w:rFonts w:hint="eastAsia" w:ascii="仿宋" w:hAnsi="仿宋" w:eastAsia="仿宋" w:cs="仿宋"/>
          <w:sz w:val="28"/>
          <w:szCs w:val="22"/>
          <w:lang w:val="en-US" w:eastAsia="zh-CN"/>
        </w:rPr>
        <w:t>汛</w:t>
      </w:r>
      <w:r>
        <w:rPr>
          <w:rFonts w:hint="eastAsia" w:ascii="仿宋" w:hAnsi="仿宋" w:eastAsia="仿宋" w:cs="仿宋"/>
          <w:sz w:val="28"/>
          <w:szCs w:val="22"/>
        </w:rPr>
        <w:t>办防御台风“温比亚”工作和启动防汛四级、三级应急响应的指示精神，我局落实岗位责任，加大排查力度，强化应急处置，确保信息畅通，全面做好各项防御工作。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一是上下同心，全面动员。第一时间召开专项工作会议并向全市住建系统印发《关于做好台风“温比亚”防御工作的紧急通知》，动员部署住建领域防御工作。局领导深入一线，组织人员进岗值守、合力抗台。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二是不留死角，全面排查。印发《关于防御台风“温比亚”的紧急通知》，8月17日至19日期间，组织城建科、质监站、安全鉴定中心、公房管理处等相关科室、局属单位出动100余人次对市政建设、农村危房改造、惠民小区公租房等进行全面排查，并组织相关人员至各地加强排查和动态监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三是突出重点，全面防范。组织人员对目前市区在建146个工地、1个直管公房落实防汛预案，同时督促各县市对在建工地的地下建构物等关键部位和环节进行自查自纠，做好抢险队伍、物资的准备和预置工作，妥善转移安置危险区域人员，将防汛抗台工作做早做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四是及时高效，信息畅通。抗台抗暴雨期间实行24小时轮班值守，确保联络畅通。同时，督促各县市住建局认真做好防御工作，并将有关信息第一时间报告，步调一致地采取应急处置措施，确保安全度汛。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周口装修装饰和墙改办服务企业创新招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为落实国务院总理李克强：在全国深化“放管服”改革转变政府职能电视电话会议上的讲话；解决企业实际困难，提高审批效率，在更大程度上便民、为民、利民，8月29日，市装修装饰和墙体材料改革管理办公室工作人员走进中心城区的今日超凡和周口经典等装饰公司上门服务现场办公，耐心细致地为企业办理从业人员的申请材料，上门为企业送去从业人员资格证等，逐步统计企业从业人员的换证和年报日记，做到逐个企业建档，点对点联系到相应的负责人，定期拜访企业，主动寻找、解决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市装修装饰和墙体材料改革管理办公室把“放管服”纳入常态化工作中，以便更好地服务企业，转作风，求实效，不断优化企业发展，为企业发展提供高效的保障和服务，受到企业的广泛好评。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市住建局召开周口市中心城区市政公用工程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扫黑除恶专项工作座谈会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8月25日上午，周口市住建局在周口市八一路打通工程项目部召开周口市中心城区市政公用工程扫黑除恶专项工作座谈会，学习传达中共中央  国务院《关于开展扫黑除恶专项斗争的通知》以及河南省委、河南省人民政府，周口市委、周口市人民政府，及市住建局党组对扫黑除恶工作专项斗争的部署和要求。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市住建局机关相关科室、川汇区、经开区、东新区、周口港区住建部门市政公用工程建设分管领导，各市政工程项目建设单位、施工单位、监理单位负责人参加了会议。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会上，市住建局党组成员、副局长陈心宇强调：推进周口市住建系统市政公用工程领域扫黑除恶专项斗争工作，要充分认识中央、省委、省府、市委、市府，及市住建局党组对这次扫黑除恶专项斗争的政治意义和坚定决心，切实增强打赢这场硬仗的紧迫感、责任感、使命感，各市政公用工程相关单位要高度重视我市市政公用工程建设领域扫黑除恶工作，认真搜集整理目前市政公用工程建设领域存在的涉黑涉恶问题，拟定下</w:t>
      </w:r>
      <w:r>
        <w:rPr>
          <w:rFonts w:hint="eastAsia" w:ascii="仿宋" w:hAnsi="仿宋" w:eastAsia="仿宋" w:cs="仿宋"/>
          <w:sz w:val="28"/>
          <w:szCs w:val="22"/>
          <w:lang w:eastAsia="zh-CN"/>
        </w:rPr>
        <w:t>一</w:t>
      </w:r>
      <w:bookmarkStart w:id="0" w:name="_GoBack"/>
      <w:bookmarkEnd w:id="0"/>
      <w:r>
        <w:rPr>
          <w:rFonts w:hint="eastAsia" w:ascii="仿宋" w:hAnsi="仿宋" w:eastAsia="仿宋" w:cs="仿宋"/>
          <w:sz w:val="28"/>
          <w:szCs w:val="22"/>
        </w:rPr>
        <w:t>步工作计划。在工作推进中一是要提高政治站位、增强政治能力，在执行中要敢于坚持原则，敢于碰硬、敢于“揭盖子”不怕丑，真正以实际行动体现忠诚担当。二是要严格工作纪律，在工作中对于不作为不担当者决不姑息迁就，依法依纪依规进行问责；三是要加强宣传引导工作，着力形成横扫黑恶势力的浓厚氛围；四是要切实做好工作保障，目的是倒逼责任落实，让想作为、敢作为、善作为的同志，感到组织的温暖和强大精神动力和使命担当。五是要严格把上级文件精神和工作部署、指示精神落到实处，并制定长效工作机制，持续发力、决不能有松口气、歇歇脚的想法。要在抓平时、管长远上下功夫，旗帜鲜明的捍卫在法律框架下进行各项扫黑除恶工作，坚决打赢扫黑除恶专项斗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周口市住房和城乡建设局积极开展中心城区</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仿宋" w:hAnsi="仿宋" w:eastAsia="仿宋" w:cs="仿宋"/>
          <w:sz w:val="28"/>
          <w:szCs w:val="22"/>
        </w:rPr>
      </w:pPr>
      <w:r>
        <w:rPr>
          <w:rFonts w:hint="eastAsia" w:ascii="方正小标宋简体" w:hAnsi="方正小标宋简体" w:eastAsia="方正小标宋简体" w:cs="方正小标宋简体"/>
          <w:b/>
          <w:bCs/>
          <w:sz w:val="32"/>
          <w:szCs w:val="32"/>
        </w:rPr>
        <w:t>商混企业涉黑涉恶线索排查工作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r>
        <w:rPr>
          <w:rFonts w:hint="eastAsia" w:ascii="仿宋" w:hAnsi="仿宋" w:eastAsia="仿宋" w:cs="仿宋"/>
          <w:sz w:val="28"/>
          <w:szCs w:val="22"/>
        </w:rPr>
        <w:t>2018年8月29日，局科技和墙体材料改革科组织人员，深入河南恒固实业有限公司、周口磊鑫建材有限公司等10家预拌混凝土生产企业，开展扫黑除恶专项斗争走访、调查座谈活动，向企业发放了《扫黑除恶专项斗争调查问卷》、《致建设工程各方主体公开信》，并与企业有关人员进行座谈，积极摸排涉黑涉恶线索。尽管并未了解到相关涉黑涉恶线索，但走访人员表示，将进一步宣传党和政府打击黑恶势力的有关政策文件精神，切实加强行业管理，最大限度挤压黑恶势力滋生空间，同时，也欢迎企业随时举报相应问题线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28"/>
          <w:szCs w:val="22"/>
        </w:rPr>
      </w:pPr>
      <w:r>
        <w:rPr>
          <w:sz w:val="32"/>
        </w:rPr>
        <mc:AlternateContent>
          <mc:Choice Requires="wps">
            <w:drawing>
              <wp:anchor distT="0" distB="0" distL="114300" distR="114300" simplePos="0" relativeHeight="260429824" behindDoc="0" locked="0" layoutInCell="1" allowOverlap="1">
                <wp:simplePos x="0" y="0"/>
                <wp:positionH relativeFrom="column">
                  <wp:posOffset>57150</wp:posOffset>
                </wp:positionH>
                <wp:positionV relativeFrom="paragraph">
                  <wp:posOffset>56515</wp:posOffset>
                </wp:positionV>
                <wp:extent cx="1603375" cy="303530"/>
                <wp:effectExtent l="13970" t="13970" r="20955" b="25400"/>
                <wp:wrapNone/>
                <wp:docPr id="13" name="文本框 5"/>
                <wp:cNvGraphicFramePr/>
                <a:graphic xmlns:a="http://schemas.openxmlformats.org/drawingml/2006/main">
                  <a:graphicData uri="http://schemas.microsoft.com/office/word/2010/wordprocessingShape">
                    <wps:wsp>
                      <wps:cNvSpPr txBox="1"/>
                      <wps:spPr>
                        <a:xfrm>
                          <a:off x="0" y="0"/>
                          <a:ext cx="1603375" cy="303530"/>
                        </a:xfrm>
                        <a:prstGeom prst="rect">
                          <a:avLst/>
                        </a:prstGeom>
                        <a:solidFill>
                          <a:srgbClr val="FFFFFF"/>
                        </a:solidFill>
                        <a:ln w="28575" cap="flat" cmpd="sng">
                          <a:pattFill prst="sphere">
                            <a:fgClr>
                              <a:srgbClr val="000000"/>
                            </a:fgClr>
                            <a:bgClr>
                              <a:srgbClr val="FFFFFF"/>
                            </a:bgClr>
                          </a:patt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县市区工作动态</w:t>
                            </w:r>
                          </w:p>
                        </w:txbxContent>
                      </wps:txbx>
                      <wps:bodyPr upright="1"/>
                    </wps:wsp>
                  </a:graphicData>
                </a:graphic>
              </wp:anchor>
            </w:drawing>
          </mc:Choice>
          <mc:Fallback>
            <w:pict>
              <v:shape id="文本框 5" o:spid="_x0000_s1026" o:spt="202" type="#_x0000_t202" style="position:absolute;left:0pt;margin-left:4.5pt;margin-top:4.45pt;height:23.9pt;width:126.25pt;z-index:260429824;mso-width-relative:page;mso-height-relative:page;" fillcolor="#FFFFFF" filled="t" stroked="t" coordsize="21600,21600" o:gfxdata="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gNLiS1gAAAAYBAAAPAAAAAAAAAAEAIAAA&#10;ACIAAABkcnMvZG93bnJldi54bWxQSwECFAAUAAAACACHTuJA4REABg4CAAA1BAAADgAAAAAAAAAB&#10;ACAAAAAlAQAAZHJzL2Uyb0RvYy54bWxQSwUGAAAAAAYABgBZAQAApQUAAAAA&#10;">
                <v:fill on="t" focussize="0,0"/>
                <v:stroke r:id="rId5" weight="2.25pt" color="#000000" color2="#FFFFFF" joinstyle="miter" o:relid="rId5" filltype="pattern"/>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县市区工作动态</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outlineLvl w:val="9"/>
        <w:rPr>
          <w:rFonts w:hint="eastAsia" w:ascii="仿宋" w:hAnsi="仿宋" w:eastAsia="仿宋" w:cs="仿宋"/>
          <w:sz w:val="28"/>
          <w:szCs w:val="22"/>
        </w:rPr>
      </w:pPr>
    </w:p>
    <w:p>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郸城县住建局：“四措”抓实夏季汛期建筑安全管理</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近期，针对夏季高温、强降雨等恶劣天气增多的特点，为注重保障一线施工人员人身安全和健康，切实加强夏季高温汛期建筑施工安全生产监管工作，该局采取四项有力举措，确保夏季高温汛期建筑施工安全管理有效有力有序。</w:t>
      </w:r>
      <w:r>
        <w:rPr>
          <w:rFonts w:hint="eastAsia" w:ascii="仿宋" w:hAnsi="仿宋" w:eastAsia="仿宋" w:cs="仿宋"/>
          <w:b/>
          <w:bCs/>
          <w:sz w:val="28"/>
          <w:szCs w:val="22"/>
        </w:rPr>
        <w:t>一是强化预警信息。</w:t>
      </w:r>
      <w:r>
        <w:rPr>
          <w:rFonts w:hint="eastAsia" w:ascii="仿宋" w:hAnsi="仿宋" w:eastAsia="仿宋" w:cs="仿宋"/>
          <w:sz w:val="28"/>
          <w:szCs w:val="22"/>
        </w:rPr>
        <w:t>密切关注气象信息，及时向各施工企业发布安全提示，通过和县建筑安全微信群及时向施工企业发布高温、强降雨、大风预警，督促施工企业积极落实降温防汛防护措施，指导建设、施工、监理企业加强高温汛期时期安全生产的组织领导，针对季节特点和行业特点，研究制定具体的安全生产方案，预防施工安全事故发生。截至目前，已向施工企业发布高温、强降雨天气信息32条。</w:t>
      </w:r>
      <w:r>
        <w:rPr>
          <w:rFonts w:hint="eastAsia" w:ascii="仿宋" w:hAnsi="仿宋" w:eastAsia="仿宋" w:cs="仿宋"/>
          <w:b/>
          <w:bCs/>
          <w:sz w:val="28"/>
          <w:szCs w:val="22"/>
        </w:rPr>
        <w:t>二是狠抓预防措施</w:t>
      </w:r>
      <w:r>
        <w:rPr>
          <w:rFonts w:hint="eastAsia" w:ascii="仿宋" w:hAnsi="仿宋" w:eastAsia="仿宋" w:cs="仿宋"/>
          <w:sz w:val="28"/>
          <w:szCs w:val="22"/>
        </w:rPr>
        <w:t>。督促施工企业认真抓好安全生产责任制等各项规章制度的落实，切实改善农民工作业、生活环境；严格执行夏季高温错时施工制度，合理安排施工工序和工程量，避开高温时段施工，降低劳动强度，严禁盲目抢工期、赶进度；对高温作业岗位劳动者进行专题培训，开展高温、汛期、强风典型案例警示教育活动，切实提高劳动者的自我防范意识和自救互救能力；同时，要求各施工企业在施工现场配备防暑设施、防护用品和防暑药品，定期供应凉茶等清凉饮料；抓好施工现场饮用水及食品管理等卫生防疫，避免因高温天气引发的工人中暑、食物中毒及其他安全生产事故。</w:t>
      </w:r>
      <w:r>
        <w:rPr>
          <w:rFonts w:hint="eastAsia" w:ascii="仿宋" w:hAnsi="仿宋" w:eastAsia="仿宋" w:cs="仿宋"/>
          <w:b/>
          <w:bCs/>
          <w:sz w:val="28"/>
          <w:szCs w:val="22"/>
        </w:rPr>
        <w:t>三是开展专项检查。</w:t>
      </w:r>
      <w:r>
        <w:rPr>
          <w:rFonts w:hint="eastAsia" w:ascii="仿宋" w:hAnsi="仿宋" w:eastAsia="仿宋" w:cs="仿宋"/>
          <w:sz w:val="28"/>
          <w:szCs w:val="22"/>
        </w:rPr>
        <w:t>结合“安全生产月”活动，采取不定期现场检查方式，加大夏季建设工程安全生产监督检查频次，重点检查夏季高温防高坠、防物体打击、防汛、防触电、防强风、防食物中毒、防火灾工作，对查出的安全隐患，及时督促责任单位限期或停工整改，进一步改善安全作业环境，提高现场安全管理水平,确保夏季高温、汛期建筑施工安全。截至目前，共查项目30个，下达安全隐患通知书38份，停工整改通知书8份，排查隐患165条，整改率100%。</w:t>
      </w:r>
      <w:r>
        <w:rPr>
          <w:rFonts w:hint="eastAsia" w:ascii="仿宋" w:hAnsi="仿宋" w:eastAsia="仿宋" w:cs="仿宋"/>
          <w:b/>
          <w:bCs/>
          <w:sz w:val="28"/>
          <w:szCs w:val="22"/>
        </w:rPr>
        <w:t>四是完善处置机制。</w:t>
      </w:r>
      <w:r>
        <w:rPr>
          <w:rFonts w:hint="eastAsia" w:ascii="仿宋" w:hAnsi="仿宋" w:eastAsia="仿宋" w:cs="仿宋"/>
          <w:sz w:val="28"/>
          <w:szCs w:val="22"/>
        </w:rPr>
        <w:t>注重加强与气象部门的沟通对接，及时掌握高温天气预报，适时发布建筑安全预警信息，完善高温作业应急处置预案，及早预防;严格执行夏季高温、汛期24小时值班带班制，加强应急值守，做到信息畅通、处置及时，确保夏季建筑施工安全。</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扶沟县住建局“三抓三促”狠抓危改督查，助力脱贫攻坚</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为加快推进全县农村危房改造“清零” 工程，切实保障四类人群住房安全，扶沟县住建局多措并举，夯实工作责任，狠抓危改工作进度与危房改造质量，全力推进农村危房改造工作，为全面打赢脱贫攻坚战奠定坚实基础</w:t>
      </w:r>
      <w:r>
        <w:rPr>
          <w:rFonts w:hint="eastAsia" w:ascii="仿宋" w:hAnsi="仿宋" w:eastAsia="仿宋" w:cs="仿宋"/>
          <w:b/>
          <w:bCs/>
          <w:sz w:val="28"/>
          <w:szCs w:val="22"/>
        </w:rPr>
        <w:t>。抓督查，促进度</w:t>
      </w:r>
      <w:r>
        <w:rPr>
          <w:rFonts w:hint="eastAsia" w:ascii="仿宋" w:hAnsi="仿宋" w:eastAsia="仿宋" w:cs="仿宋"/>
          <w:sz w:val="28"/>
          <w:szCs w:val="22"/>
        </w:rPr>
        <w:t>。实行班子成员分包乡镇，抽调精干人员组成5个督导组，坚持每周下乡入村逐户开展督导检查，严格落实“乡镇每天报进度，督查组每周一核实”的工作机制，督查结果每周上报县农村危房改造工作领导组印发通报，对各乡镇（街道）危房改造开工率、竣工率进行排名，将农村危房改造工作纳入年度脱贫攻坚单项考核。</w:t>
      </w:r>
      <w:r>
        <w:rPr>
          <w:rFonts w:hint="eastAsia" w:ascii="仿宋" w:hAnsi="仿宋" w:eastAsia="仿宋" w:cs="仿宋"/>
          <w:b/>
          <w:bCs/>
          <w:sz w:val="28"/>
          <w:szCs w:val="22"/>
        </w:rPr>
        <w:t>抓核查，促精准。</w:t>
      </w:r>
      <w:r>
        <w:rPr>
          <w:rFonts w:hint="eastAsia" w:ascii="仿宋" w:hAnsi="仿宋" w:eastAsia="仿宋" w:cs="仿宋"/>
          <w:sz w:val="28"/>
          <w:szCs w:val="22"/>
        </w:rPr>
        <w:t>督查过程中，对各乡镇（街道）每周新开工和新竣工户的个人信息、房屋危险等级、改造情况、用工用料及资金拨付情况进行逐项核查，并要求各乡镇（街道）按照“一户一档”的要求规范建立档案，确保信息精准。</w:t>
      </w:r>
      <w:r>
        <w:rPr>
          <w:rFonts w:hint="eastAsia" w:ascii="仿宋" w:hAnsi="仿宋" w:eastAsia="仿宋" w:cs="仿宋"/>
          <w:b/>
          <w:bCs/>
          <w:sz w:val="28"/>
          <w:szCs w:val="22"/>
        </w:rPr>
        <w:t>抓整改，促落实</w:t>
      </w:r>
      <w:r>
        <w:rPr>
          <w:rFonts w:hint="eastAsia" w:ascii="仿宋" w:hAnsi="仿宋" w:eastAsia="仿宋" w:cs="仿宋"/>
          <w:sz w:val="28"/>
          <w:szCs w:val="22"/>
        </w:rPr>
        <w:t>。在督查进度，核查信息的基础上，认真梳理督查发现的危改户信息不完善、维修简单、超面积改造、缺少用工用料清单等问题，督促各乡镇制定措施，严格按照方案要求和改造标准，按时做好整改落实。截止7月底，全县已上报鉴定危房户2426户，已开工2238户，占比91%，竣工1978户占比81%，已拨付资金1443万元，预计8月底全部完成改造任务。</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郸城县住建局：“六抓”信访工作</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今年以来，该局采取“六抓”举措，突重点、把关键、创思路、严措施，全力抓好信访稳定工作。</w:t>
      </w:r>
      <w:r>
        <w:rPr>
          <w:rFonts w:hint="eastAsia" w:ascii="仿宋" w:hAnsi="仿宋" w:eastAsia="仿宋" w:cs="仿宋"/>
          <w:b/>
          <w:bCs/>
          <w:sz w:val="28"/>
          <w:szCs w:val="22"/>
        </w:rPr>
        <w:t>一是抓机构。</w:t>
      </w:r>
      <w:r>
        <w:rPr>
          <w:rFonts w:hint="eastAsia" w:ascii="仿宋" w:hAnsi="仿宋" w:eastAsia="仿宋" w:cs="仿宋"/>
          <w:sz w:val="28"/>
          <w:szCs w:val="22"/>
        </w:rPr>
        <w:t>该局把信访工作纳入重要议事议程，常抓常议，定期研究，定期研判。及时调整完善了局信访工作领导机构，建立由局主要负责人任组长，分管信访工作的负责人任副组长，班子其他成员、科级干部、股室负责人为成员的信访工作领导小组，下设专门的办公室，具体负责信访登记、受理、处置、转办、交办、督办等工作，完善信访工作网络队伍。</w:t>
      </w:r>
      <w:r>
        <w:rPr>
          <w:rFonts w:hint="eastAsia" w:ascii="仿宋" w:hAnsi="仿宋" w:eastAsia="仿宋" w:cs="仿宋"/>
          <w:b/>
          <w:bCs/>
          <w:sz w:val="28"/>
          <w:szCs w:val="22"/>
        </w:rPr>
        <w:t>二是抓职责。</w:t>
      </w:r>
      <w:r>
        <w:rPr>
          <w:rFonts w:hint="eastAsia" w:ascii="仿宋" w:hAnsi="仿宋" w:eastAsia="仿宋" w:cs="仿宋"/>
          <w:sz w:val="28"/>
          <w:szCs w:val="22"/>
        </w:rPr>
        <w:t>该局明确班子成员的工作分工，按照不同工作职责，确立“谁分管、谁负责，谁主抓、谁办理”的信访处置工作方法，逐级分解工作责任，交责任、压担子、定时限，做到“有访必接，交案必办，有办必果”，健全了机构，明确了责任，靠实了任务，有效保证了局信访工作的有力推进。</w:t>
      </w:r>
      <w:r>
        <w:rPr>
          <w:rFonts w:hint="eastAsia" w:ascii="仿宋" w:hAnsi="仿宋" w:eastAsia="仿宋" w:cs="仿宋"/>
          <w:b/>
          <w:bCs/>
          <w:sz w:val="28"/>
          <w:szCs w:val="22"/>
        </w:rPr>
        <w:t>三是抓宣传。</w:t>
      </w:r>
      <w:r>
        <w:rPr>
          <w:rFonts w:hint="eastAsia" w:ascii="仿宋" w:hAnsi="仿宋" w:eastAsia="仿宋" w:cs="仿宋"/>
          <w:sz w:val="28"/>
          <w:szCs w:val="22"/>
        </w:rPr>
        <w:t>把宣传城乡规划建设等行业法律、法规积极普及建设法制知识,作为做好信访工作的有效抓手和方式手段，印制了《法律法规学习资料汇编》、《信访手册》等资料，利用法制宣传日、信访接待日等活动深入社区、居委会、建筑企业进行宣传，通过发放宣传资料，开展法律咨询等形式，积极为信访人解疑释惑，增强群众的法制意识，从而从源头上减少信访事件的发生。</w:t>
      </w:r>
      <w:r>
        <w:rPr>
          <w:rFonts w:hint="eastAsia" w:ascii="仿宋" w:hAnsi="仿宋" w:eastAsia="仿宋" w:cs="仿宋"/>
          <w:b/>
          <w:bCs/>
          <w:sz w:val="28"/>
          <w:szCs w:val="22"/>
        </w:rPr>
        <w:t>四是抓重点。</w:t>
      </w:r>
      <w:r>
        <w:rPr>
          <w:rFonts w:hint="eastAsia" w:ascii="仿宋" w:hAnsi="仿宋" w:eastAsia="仿宋" w:cs="仿宋"/>
          <w:sz w:val="28"/>
          <w:szCs w:val="22"/>
        </w:rPr>
        <w:t>该局主动加大与县信访局沟通衔接，积极互通信访情况，信息共享，主动加强请示汇报，合力解决信访难题。一方面加大排查调处力度，重点对群众反映的农民工工资、项目征拆、小区物业、房地产纠纷等潜在矛盾纠纷，定期开展矛盾纠纷排查、信访苗头排查，并召开住建系统信访案件交办、督办会，落实办理人员、靠实工作责任。同时，把好初信初访关，对群众的来信，严格按照办理程序规范操作，对来信登记、来访记录、领导阅批、交办、签收、查办材料、回复、报结等予以一一落实。坚持“件件立案，突出直办”，提高初信办结率，减少信转访。</w:t>
      </w:r>
      <w:r>
        <w:rPr>
          <w:rFonts w:hint="eastAsia" w:ascii="仿宋" w:hAnsi="仿宋" w:eastAsia="仿宋" w:cs="仿宋"/>
          <w:b/>
          <w:bCs/>
          <w:sz w:val="28"/>
          <w:szCs w:val="22"/>
        </w:rPr>
        <w:t>五是抓机制。</w:t>
      </w:r>
      <w:r>
        <w:rPr>
          <w:rFonts w:hint="eastAsia" w:ascii="仿宋" w:hAnsi="仿宋" w:eastAsia="仿宋" w:cs="仿宋"/>
          <w:sz w:val="28"/>
          <w:szCs w:val="22"/>
        </w:rPr>
        <w:t>全局树立“群众利益无小事”的理念，建立健全信访工作制度，坚持分级负责、归口办理和谁主管、谁负责，谁分管、谁协调的原则；坚持和完善领导对分管工作和信访稳定工作“一岗双责”的制度，建立24小时双岗值班制度，夯实抓好信访工作的基础。</w:t>
      </w:r>
      <w:r>
        <w:rPr>
          <w:rFonts w:hint="eastAsia" w:ascii="仿宋" w:hAnsi="仿宋" w:eastAsia="仿宋" w:cs="仿宋"/>
          <w:b/>
          <w:bCs/>
          <w:sz w:val="28"/>
          <w:szCs w:val="22"/>
        </w:rPr>
        <w:t>六是抓落实。</w:t>
      </w:r>
      <w:r>
        <w:rPr>
          <w:rFonts w:hint="eastAsia" w:ascii="仿宋" w:hAnsi="仿宋" w:eastAsia="仿宋" w:cs="仿宋"/>
          <w:sz w:val="28"/>
          <w:szCs w:val="22"/>
        </w:rPr>
        <w:t>按照“有信访必督，一督到底”的原则，切实处理好每一起群众来信来访。采取立案督办、督办单督办、交办等多种形式进行督办，严格督办程序，凡督办的案件，一律上报处理结果，不能按时上报结果的，在一定范围内说明情况，对条件成熟虚于应付、推而不动、敷衍应付信访工作的，由局纪委按照相关规章制度启动问责程序，约谈相关人员。截止目前，共接待接收各类信访案件23件，办结和书面答复率100%，反映的问题均得到了妥善处理。</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淮阳县住建局扎实开展扫黑除恶专项斗争工作</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b/>
          <w:bCs/>
          <w:sz w:val="28"/>
          <w:szCs w:val="22"/>
        </w:rPr>
        <w:t>一是加强组织。</w:t>
      </w:r>
      <w:r>
        <w:rPr>
          <w:rFonts w:hint="eastAsia" w:ascii="仿宋" w:hAnsi="仿宋" w:eastAsia="仿宋" w:cs="仿宋"/>
          <w:sz w:val="28"/>
          <w:szCs w:val="22"/>
        </w:rPr>
        <w:t>成立了由局长任组长，班子成员任副组长，各股室负责人为成员的领导小组，提供组织保障</w:t>
      </w:r>
      <w:r>
        <w:rPr>
          <w:rFonts w:hint="eastAsia" w:ascii="仿宋" w:hAnsi="仿宋" w:eastAsia="仿宋" w:cs="仿宋"/>
          <w:b/>
          <w:bCs/>
          <w:sz w:val="28"/>
          <w:szCs w:val="22"/>
        </w:rPr>
        <w:t>。二是制定方案。</w:t>
      </w:r>
      <w:r>
        <w:rPr>
          <w:rFonts w:hint="eastAsia" w:ascii="仿宋" w:hAnsi="仿宋" w:eastAsia="仿宋" w:cs="仿宋"/>
          <w:sz w:val="28"/>
          <w:szCs w:val="22"/>
        </w:rPr>
        <w:t>制定下发了《住建系统扫黑除恶专项斗争工作方案》，明确工作任务、责任单位和责任人，工作责任进一步夯实。三是广泛宣传。组织住建系统有关企业和人员召开专题会议，进行专门安排部署；制作宣传条幅200幅、宣传单20000份，在各建筑工地和住宅小区进行悬挂和发放，并设立举报箱，公开举报方式，形成高压态势。四是摸排线索。组织人员对容易出现黑恶案件的领域进行全方位集中排查，共询问企业36家，询问有关人员72人。</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项城市装饰装修行业协会成立暨装饰装修法规宣传启动仪式</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8月28日上午，项城市装饰装修行业协会成立暨装饰装修法规宣传启动仪式正式开始，周口市装饰办有关负责人、市住建局全体班子成员，各科室主要负责人，以及装饰装修行业协会第一届理事单位负责人共同参加装饰装修法规宣传启动仪式。住建局装饰装修管理办公室针对装饰装修用户增多，流动性增大，管理难度增加的实际，以强化法规宣传教育为先导，不断优化装饰装修管理工作环境，增强了单位、居民公共安全和公众利益的保护意识。此次装饰装修行业协会的成立，是我市装饰装修行业规范管理和健康发展的需要，为项城市装饰装修打造良好的市场环境，让每一位市民享受公平、公正、健康、有序的装饰装修市场，并让更多的市民参与了解装饰装修市场的法律法规。</w:t>
      </w:r>
      <w:r>
        <w:rPr>
          <w:rFonts w:hint="eastAsia" w:ascii="仿宋" w:hAnsi="仿宋" w:eastAsia="仿宋" w:cs="仿宋"/>
          <w:sz w:val="28"/>
          <w:szCs w:val="22"/>
        </w:rPr>
        <w:tab/>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rPr>
          <w:rFonts w:hint="eastAsia" w:ascii="仿宋" w:hAnsi="仿宋" w:eastAsia="仿宋" w:cs="仿宋"/>
          <w:sz w:val="28"/>
          <w:szCs w:val="22"/>
        </w:rPr>
      </w:pPr>
      <w:r>
        <w:rPr>
          <w:rFonts w:hint="eastAsia" w:ascii="黑体" w:hAnsi="黑体" w:eastAsia="黑体" w:cs="黑体"/>
          <w:b/>
          <w:bCs/>
          <w:color w:val="000000" w:themeColor="text1"/>
          <w:sz w:val="30"/>
          <w:szCs w:val="30"/>
          <w:highlight w:val="none"/>
          <w:lang w:eastAsia="zh-CN"/>
          <w14:textFill>
            <w14:solidFill>
              <w14:schemeClr w14:val="tx1"/>
            </w14:solidFill>
          </w14:textFill>
        </w:rPr>
        <w:t>淮阳县住建局创新工作方法</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黑体" w:hAnsi="黑体" w:eastAsia="黑体" w:cs="黑体"/>
          <w:b/>
          <w:bCs/>
          <w:color w:val="000000" w:themeColor="text1"/>
          <w:sz w:val="30"/>
          <w:szCs w:val="30"/>
          <w:highlight w:val="none"/>
          <w:lang w:eastAsia="zh-CN"/>
          <w14:textFill>
            <w14:solidFill>
              <w14:schemeClr w14:val="tx1"/>
            </w14:solidFill>
          </w14:textFill>
        </w:rPr>
        <w:t>助推脱贫攻坚</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2018年是我县脱贫攻坚的关键之年，是打好脱贫攻坚战的作风建设年。当前，脱贫攻坚工作已进入攻坚拔寨、背水一战的关键时期，县住建局积极探索工作方法，全力助推脱贫攻坚。近期，针对正在开展的“六村共建”及老人户合吃合住工作，我局在帮扶村内积极开展“六村共建和家庭卫生及孝道评比工作法”，工作成效显著提升。一是对照要求，列出标准。及时召开驻村工作队和村三委座谈会，共同研究上级文件精神，按照县乡工作要求，逐项列出工作内容和工作标准；二是严格评比，细化打分。对照评比内容，结合每家每户门前、厨房、客厅卫生、老人衣食住行、家庭和睦情况等，逐项进行打分，分数高低取决于实际情况和群众满意度，采取精神与物质相结合的方式进行评比；三是规范奖惩，公开公示。评比工作中，设置红黑榜，对表现先进、分数靠前的家庭，在该户对应位置贴上小红旗，对工作落后、不思进取的家庭，贴上小黑旗，并在村内公示栏公示，以此激励先进，鞭策后进，让户户形成“比学赶帮超”的浓厚氛围，为脱贫攻坚打下坚实的思想基础。</w:t>
      </w: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firstLine="602" w:firstLineChars="200"/>
        <w:jc w:val="left"/>
        <w:textAlignment w:val="auto"/>
        <w:outlineLvl w:val="9"/>
      </w:pPr>
      <w:r>
        <w:rPr>
          <w:rFonts w:hint="eastAsia" w:ascii="黑体" w:hAnsi="黑体" w:eastAsia="黑体" w:cs="黑体"/>
          <w:b/>
          <w:bCs/>
          <w:color w:val="000000" w:themeColor="text1"/>
          <w:sz w:val="30"/>
          <w:szCs w:val="30"/>
          <w:highlight w:val="none"/>
          <w:lang w:eastAsia="zh-CN"/>
          <w14:textFill>
            <w14:solidFill>
              <w14:schemeClr w14:val="tx1"/>
            </w14:solidFill>
          </w14:textFill>
        </w:rPr>
        <w:t>淮阳县住建局驻豆门楚庄工作队三措施扎实开展“回头看”工作</w:t>
      </w:r>
      <w:r>
        <w:rPr>
          <w:rFonts w:hint="eastAsia" w:ascii="黑体" w:hAnsi="黑体" w:eastAsia="黑体" w:cs="黑体"/>
          <w:b/>
          <w:bCs/>
          <w:color w:val="000000" w:themeColor="text1"/>
          <w:sz w:val="30"/>
          <w:szCs w:val="30"/>
          <w:highlight w:val="none"/>
          <w:lang w:val="en-US" w:eastAsia="zh-CN"/>
          <w14:textFill>
            <w14:solidFill>
              <w14:schemeClr w14:val="tx1"/>
            </w14:solidFill>
          </w14:textFill>
        </w:rPr>
        <w:t xml:space="preserve">  </w:t>
      </w:r>
      <w:r>
        <w:rPr>
          <w:rFonts w:hint="eastAsia" w:ascii="仿宋" w:hAnsi="仿宋" w:eastAsia="仿宋" w:cs="仿宋"/>
          <w:sz w:val="28"/>
          <w:szCs w:val="22"/>
        </w:rPr>
        <w:t>淮阳县住建局驻豆门楚庄扶贫工作队全体队员和村两委村干部认真开展“回头看”工作，查漏补缺再发力。一是成立楚庄村精准扶贫“回头看”工作队，结合楚庄行政村实际情况“围村”检查并配合村委会深入了解贫困户动态，发现问题及时跟进，确保已脱贫群众不返贫、未脱贫群众有信心。二是对已纳入建档立卡范围的贫困户进行全面排查，入户宣传省、市、县出台的帮扶政策及脱贫对象退出标准，消除贫困户疑虑，对帮扶对象“三保障”（即教育、医疗、住房）落实、产业扶贫效果等情况进行了系统的“回头看”。三是依靠省精准扶贫信息管理平台中建档立卡贫困户购置机动车、商业经营等信息进行比对，确保无差错、不留死角。截至目前，楚庄村“回头看”工作队共计走访调研贫困户160余户，更新贫困户基础信息30条。</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Theme="minorEastAsia" w:hAnsiTheme="minorEastAsia" w:eastAsiaTheme="minorEastAsia" w:cstheme="minorEastAsia"/>
        <w:sz w:val="28"/>
        <w:szCs w:val="28"/>
        <w:lang w:val="en-US" w:eastAsia="zh-CN"/>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E74C9C"/>
    <w:rsid w:val="07667954"/>
    <w:rsid w:val="23487FAC"/>
    <w:rsid w:val="2C6407BF"/>
    <w:rsid w:val="301104AD"/>
    <w:rsid w:val="37090A55"/>
    <w:rsid w:val="50C037B4"/>
    <w:rsid w:val="53E74C9C"/>
    <w:rsid w:val="648D73E8"/>
    <w:rsid w:val="69C74644"/>
    <w:rsid w:val="6D535020"/>
    <w:rsid w:val="7C512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bmp"/><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20</Pages>
  <Words>9351</Words>
  <Characters>9658</Characters>
  <Lines>0</Lines>
  <Paragraphs>0</Paragraphs>
  <TotalTime>12</TotalTime>
  <ScaleCrop>false</ScaleCrop>
  <LinksUpToDate>false</LinksUpToDate>
  <CharactersWithSpaces>9705</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2018-09-07T06:58:00Z</dcterms:created>
  <dc:creator>周口兴隆电脑⑥</dc:creator>
  <cp:lastModifiedBy>周口兴隆电脑⑥</cp:lastModifiedBy>
  <dcterms:modified xsi:type="dcterms:W3CDTF">2018-09-21T02:07:12Z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