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1</w:t>
      </w:r>
    </w:p>
    <w:p>
      <w:pPr>
        <w:widowControl w:val="0"/>
        <w:wordWrap/>
        <w:adjustRightInd w:val="0"/>
        <w:snapToGrid w:val="0"/>
        <w:spacing w:before="0" w:after="0" w:line="3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  <w:t>周口市</w:t>
      </w: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安全</w:t>
      </w:r>
      <w:r>
        <w:rPr>
          <w:rFonts w:hint="eastAsia" w:ascii="Times New Roman" w:hAnsi="Times New Roman" w:eastAsia="方正小标宋简体" w:cs="Times New Roman"/>
          <w:color w:val="0C0C0C"/>
          <w:sz w:val="44"/>
          <w:szCs w:val="44"/>
          <w:lang w:eastAsia="zh-CN"/>
        </w:rPr>
        <w:t>生产</w:t>
      </w: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风险隐患双重预防体系</w:t>
      </w:r>
    </w:p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建设重点任务分工</w:t>
      </w:r>
    </w:p>
    <w:p>
      <w:pPr>
        <w:widowControl w:val="0"/>
        <w:wordWrap/>
        <w:adjustRightInd w:val="0"/>
        <w:snapToGrid w:val="0"/>
        <w:spacing w:before="0" w:after="0" w:line="3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</w:pPr>
    </w:p>
    <w:tbl>
      <w:tblPr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3345"/>
        <w:gridCol w:w="2174"/>
      </w:tblGrid>
      <w:tr>
        <w:trPr>
          <w:trHeight w:val="835" w:hRule="atLeast"/>
          <w:jc w:val="center"/>
        </w:trPr>
        <w:tc>
          <w:tcPr>
            <w:tcW w:w="4028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重点任务分工</w:t>
            </w:r>
          </w:p>
        </w:tc>
        <w:tc>
          <w:tcPr>
            <w:tcW w:w="3345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责任单位</w:t>
            </w:r>
          </w:p>
        </w:tc>
        <w:tc>
          <w:tcPr>
            <w:tcW w:w="2174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完成时限</w:t>
            </w:r>
          </w:p>
        </w:tc>
      </w:tr>
      <w:tr>
        <w:trPr>
          <w:trHeight w:val="102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制定地区综合实施方案和行业专项实施方案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政府，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8年1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中旬</w:t>
            </w:r>
          </w:p>
        </w:tc>
      </w:tr>
      <w:tr>
        <w:trPr>
          <w:trHeight w:val="84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选择培育双重预防体系建设试点进行示范引领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2018年12月底前</w:t>
            </w:r>
          </w:p>
        </w:tc>
      </w:tr>
      <w:tr>
        <w:trPr>
          <w:trHeight w:val="830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组织对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部门、行业、领域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相关人员进行双重预防专题培训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2018年12月底前</w:t>
            </w:r>
          </w:p>
        </w:tc>
      </w:tr>
      <w:tr>
        <w:trPr>
          <w:trHeight w:val="1830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基本完成危险化学品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、烟花爆竹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企业双重预防体系建设，相关信息录入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河南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省智能化安全监管综合平台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安全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监管局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2018年12月底前</w:t>
            </w:r>
          </w:p>
        </w:tc>
      </w:tr>
      <w:tr>
        <w:trPr>
          <w:trHeight w:val="227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基本建成道路运输、建设、文化、旅游、卫生、教育、冶金、商贸等重点行业领域双重预防体系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住房城乡建设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市城管局、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市文广旅局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、市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卫生计生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委、市教育局、市安全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监管局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商务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149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24"/>
                <w:szCs w:val="24"/>
              </w:rPr>
              <w:t>在全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Cs/>
                <w:color w:val="0C0C0C"/>
                <w:sz w:val="24"/>
                <w:szCs w:val="24"/>
              </w:rPr>
              <w:t>规模以上企业推行安全承诺公告制度，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依托信用信息共享平台实施联合惩戒。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2750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将安全生产双重预防体系建设纳入年度目标考核内容和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经批准开展的督导内容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，建立健全督查督办、汇报点评、定期通报、警示约谈、执法惩处等工作机制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安委会办公室，各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安委会办公室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1240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各行业、各类园区全面推行双重预防体系建设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146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从产业规划、行业标准、市场准入、技术装备等源头管控行业安全风险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政府。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3425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加快推进城区重大危险源搬迁改造和城市河道、道路、管线等综合治理，积极推广智慧交通、智慧用电、智慧电梯、综合管廊等先进适用技术，严格地质灾害区、危险化学品罐区等危险区域安全防护避让，从源头上消除区域安全风险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有关部门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1100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实现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全市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各级政府、部门、企业之间信息互联互通、数据共享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安委会办公室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1176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建立与双重预防体系相适应的线上线下精准执法机制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1186" w:hRule="atLeast"/>
          <w:jc w:val="center"/>
        </w:trPr>
        <w:tc>
          <w:tcPr>
            <w:tcW w:w="4028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县（市、区）、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各行业双重预防体系实现稳定运行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45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有关部门，各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74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2020年12月底前</w:t>
            </w:r>
          </w:p>
        </w:tc>
      </w:tr>
    </w:tbl>
    <w:p>
      <w:pPr>
        <w:widowControl w:val="0"/>
        <w:wordWrap/>
        <w:adjustRightInd w:val="0"/>
        <w:snapToGrid w:val="0"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</w:p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C0C0C"/>
          <w:sz w:val="32"/>
          <w:szCs w:val="32"/>
        </w:rPr>
        <w:t>2</w:t>
      </w:r>
    </w:p>
    <w:p>
      <w:pPr>
        <w:widowControl w:val="0"/>
        <w:wordWrap/>
        <w:adjustRightInd w:val="0"/>
        <w:snapToGrid w:val="0"/>
        <w:spacing w:before="0" w:after="0" w:line="3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C0C0C"/>
          <w:sz w:val="32"/>
          <w:szCs w:val="32"/>
          <w:lang w:eastAsia="zh-CN"/>
        </w:rPr>
      </w:pPr>
    </w:p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  <w:t>周口市</w:t>
      </w: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安全</w:t>
      </w:r>
      <w:r>
        <w:rPr>
          <w:rFonts w:hint="eastAsia" w:ascii="Times New Roman" w:hAnsi="Times New Roman" w:eastAsia="方正小标宋简体" w:cs="Times New Roman"/>
          <w:color w:val="0C0C0C"/>
          <w:sz w:val="44"/>
          <w:szCs w:val="44"/>
          <w:lang w:eastAsia="zh-CN"/>
        </w:rPr>
        <w:t>生产</w:t>
      </w: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风险隐患双重预防体系</w:t>
      </w:r>
    </w:p>
    <w:p>
      <w:pPr>
        <w:widowControl w:val="0"/>
        <w:wordWrap/>
        <w:adjustRightInd w:val="0"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color w:val="0C0C0C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C0C0C"/>
          <w:sz w:val="44"/>
          <w:szCs w:val="44"/>
        </w:rPr>
        <w:t>建设行业职责分工</w:t>
      </w:r>
      <w:r>
        <w:rPr>
          <w:rFonts w:hint="default" w:ascii="Times New Roman" w:hAnsi="Times New Roman" w:eastAsia="仿宋_GB2312" w:cs="Times New Roman"/>
          <w:b/>
          <w:color w:val="0C0C0C"/>
          <w:sz w:val="32"/>
          <w:szCs w:val="32"/>
        </w:rPr>
        <w:t xml:space="preserve"> </w:t>
      </w:r>
    </w:p>
    <w:p>
      <w:pPr>
        <w:widowControl w:val="0"/>
        <w:wordWrap/>
        <w:adjustRightInd w:val="0"/>
        <w:snapToGrid w:val="0"/>
        <w:spacing w:before="0" w:after="0" w:line="3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color w:val="0C0C0C"/>
          <w:sz w:val="32"/>
          <w:szCs w:val="32"/>
          <w:lang w:eastAsia="zh-CN"/>
        </w:rPr>
      </w:pPr>
    </w:p>
    <w:tbl>
      <w:tblPr>
        <w:tblW w:w="10011" w:type="dxa"/>
        <w:jc w:val="center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1710"/>
        <w:gridCol w:w="2070"/>
      </w:tblGrid>
      <w:tr>
        <w:trPr>
          <w:trHeight w:val="715" w:hRule="atLeast"/>
          <w:jc w:val="center"/>
        </w:trPr>
        <w:tc>
          <w:tcPr>
            <w:tcW w:w="6231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行业职责</w:t>
            </w:r>
          </w:p>
        </w:tc>
        <w:tc>
          <w:tcPr>
            <w:tcW w:w="1710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责任单位</w:t>
            </w:r>
          </w:p>
        </w:tc>
        <w:tc>
          <w:tcPr>
            <w:tcW w:w="2070" w:type="dxa"/>
            <w:vAlign w:val="bottom"/>
          </w:tcPr>
          <w:p>
            <w:pPr>
              <w:widowControl w:val="0"/>
              <w:wordWrap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C0C0C"/>
                <w:sz w:val="28"/>
                <w:szCs w:val="28"/>
              </w:rPr>
              <w:t>完成时限</w:t>
            </w:r>
          </w:p>
        </w:tc>
      </w:tr>
      <w:tr>
        <w:trPr>
          <w:trHeight w:val="81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危险化学品、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烟花爆竹、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工贸行业双重预防体系建设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安全生产监管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83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各类学校（含幼儿园）双重预防体系建设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109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房屋建筑和市政基础设施工程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住房城乡建设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145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全市市政设施建设、城市供水、燃气（城镇）、热力、园林、市容环境治理城市规划区绿化、城镇污水处理设施、城市地下管网和城市地下空间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市城管局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76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道路运输业、水上交通业和公路、水路建设工程双重预防体系建设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交通运输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114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全市国、省公路干线及其附属设施（城市道路交通安全标志、标线除外）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市公路局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72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商贸、流通行业双重预防体系建设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商务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57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文化市场和文化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旅游行业系统双重预防体系建设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市文广旅局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964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医疗卫生和计生机构双重预防体系建设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卫生计生委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2019年6月底前</w:t>
            </w:r>
          </w:p>
        </w:tc>
      </w:tr>
      <w:tr>
        <w:trPr>
          <w:trHeight w:val="71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、监督我市境内漯阜线双重预防体系建设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漯阜铁路公司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月底前</w:t>
            </w:r>
          </w:p>
        </w:tc>
      </w:tr>
      <w:tr>
        <w:trPr>
          <w:trHeight w:val="83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全市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管辖范围内电力运行和电力建设工程施工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等行业领域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工业和信息化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委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月底前</w:t>
            </w:r>
          </w:p>
        </w:tc>
      </w:tr>
      <w:tr>
        <w:trPr>
          <w:trHeight w:val="101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市石油天然气管道（城镇燃气管道和炼油、化工等企业厂区内管道除外）双重预防体系建设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发展改革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委（能源局）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月底前</w:t>
            </w:r>
          </w:p>
        </w:tc>
      </w:tr>
      <w:tr>
        <w:trPr>
          <w:trHeight w:val="106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各类军休服务管理机构、养老院、敬老院、光荣院、社会福利院、殡仪馆、陵园等民政服务机构双重预防体系建设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民政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42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水利行业和水利建设工程双重预防体系建设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水利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62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农业、渔业双重预防体系建设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农业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51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农机行业双重预防体系建设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机局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49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林业双重预防体系建设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林业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575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特种设备领域双重预防体系建设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质监局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62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粮食储备系统双重预防体系建设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粮食局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259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供销系统双重预防体系建设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供销社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650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监狱系统双重预防体系建设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周口监狱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859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市移动通信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行业及通信建设领域双重预防体系建设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移动周口分公司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859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市联通通信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行业及通信建设领域双重预防体系建设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联通周口分公司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  <w:tr>
        <w:trPr>
          <w:trHeight w:val="1199" w:hRule="atLeast"/>
          <w:jc w:val="center"/>
        </w:trPr>
        <w:tc>
          <w:tcPr>
            <w:tcW w:w="6231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组织、指导、监督全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电信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eastAsia="zh-CN"/>
              </w:rPr>
              <w:t>通信</w:t>
            </w: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行业及通信建设领域双重预防体系建设</w:t>
            </w:r>
            <w:r>
              <w:rPr>
                <w:rFonts w:hint="eastAsia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  <w:lang w:val="en-US" w:eastAsia="zh-CN"/>
              </w:rPr>
              <w:t>电信周口分公司</w:t>
            </w:r>
          </w:p>
        </w:tc>
        <w:tc>
          <w:tcPr>
            <w:tcW w:w="2070" w:type="dxa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38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C0C0C"/>
                <w:sz w:val="24"/>
                <w:szCs w:val="24"/>
              </w:rPr>
              <w:t>2019年12月底前</w:t>
            </w:r>
          </w:p>
        </w:tc>
      </w:tr>
    </w:tbl>
    <w:p>
      <w:pPr>
        <w:widowControl w:val="0"/>
        <w:wordWrap/>
        <w:adjustRightInd w:val="0"/>
        <w:snapToGrid w:val="0"/>
        <w:spacing w:line="3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C0C0C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注：双重预防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C0C0C"/>
          <w:sz w:val="28"/>
          <w:szCs w:val="28"/>
        </w:rPr>
        <w:t>体系建设行业职责分工根据《党委政府及有关部门安全生产工作职责》确定。</w:t>
      </w:r>
      <w:r>
        <w:rPr>
          <w:rFonts w:hint="eastAsia" w:ascii="楷体_GB2312" w:hAnsi="楷体_GB2312" w:eastAsia="楷体_GB2312" w:cs="楷体_GB2312"/>
          <w:color w:val="0C0C0C"/>
          <w:sz w:val="32"/>
          <w:szCs w:val="32"/>
        </w:rPr>
        <w:t xml:space="preserve"> </w:t>
      </w:r>
    </w:p>
    <w:sectPr>
      <w:footerReference r:id="rId4" w:type="default"/>
      <w:pgSz w:w="11906" w:h="16838"/>
      <w:pgMar w:top="1814" w:right="1474" w:bottom="1701" w:left="1587" w:header="708" w:footer="709" w:gutter="0"/>
      <w:pgNumType w:fmt="numberInDash"/>
      <w:cols w:space="720" w:num="1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>
      <w:rFonts w:ascii="Tahoma" w:hAnsi="Tahoma"/>
    </w:rPr>
  </w:style>
  <w:style w:type="paragraph" w:customStyle="1" w:styleId="4">
    <w:name w:val="Date"/>
    <w:basedOn w:val="1"/>
    <w:next w:val="1"/>
    <w:link w:val="2"/>
    <w:pPr>
      <w:ind w:left="100" w:leftChars="2500"/>
    </w:pPr>
    <w:rPr>
      <w:rFonts w:ascii="Tahoma" w:hAnsi="Tahoma"/>
    </w:rPr>
  </w:style>
  <w:style w:type="paragraph" w:styleId="5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3"/>
    <w:rPr>
      <w:b/>
    </w:rPr>
  </w:style>
  <w:style w:type="character" w:styleId="8">
    <w:name w:val="FollowedHyperlink"/>
    <w:basedOn w:val="3"/>
    <w:rPr>
      <w:color w:val="3D3D3D"/>
      <w:u w:val="none"/>
    </w:rPr>
  </w:style>
  <w:style w:type="character" w:styleId="9">
    <w:name w:val="Hyperlink"/>
    <w:basedOn w:val="3"/>
    <w:rPr>
      <w:color w:val="3D3D3D"/>
      <w:u w:val="none"/>
    </w:rPr>
  </w:style>
  <w:style w:type="paragraph" w:customStyle="1" w:styleId="10">
    <w:name w:val="批注框文本 Char Char"/>
    <w:basedOn w:val="1"/>
    <w:link w:val="13"/>
    <w:pPr>
      <w:spacing w:after="0"/>
    </w:pPr>
    <w:rPr>
      <w:rFonts w:ascii="Tahoma" w:hAnsi="Tahoma"/>
      <w:sz w:val="18"/>
      <w:szCs w:val="18"/>
    </w:rPr>
  </w:style>
  <w:style w:type="paragraph" w:customStyle="1" w:styleId="11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2">
    <w:name w:val="List Paragraph"/>
    <w:basedOn w:val="1"/>
    <w:pPr>
      <w:ind w:firstLine="420" w:firstLineChars="200"/>
    </w:pPr>
  </w:style>
  <w:style w:type="character" w:customStyle="1" w:styleId="13">
    <w:name w:val="批注框文本 Char Char Char"/>
    <w:basedOn w:val="3"/>
    <w:link w:val="10"/>
    <w:semiHidden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476</Words>
  <Characters>2718</Characters>
  <Lines>22</Lines>
  <Paragraphs>6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Printed>2018-12-11T15:20:38Z</cp:lastPrinted>
  <dcterms:modified xsi:type="dcterms:W3CDTF">2018-12-11T15:20:56Z</dcterms:modified>
  <dc:title>wuxiao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