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0" w:beforeAutospacing="0" w:after="0" w:afterAutospacing="0" w:line="620" w:lineRule="exact"/>
        <w:jc w:val="both"/>
        <w:rPr>
          <w:rFonts w:ascii="黑体" w:hAnsi="黑体" w:eastAsia="黑体" w:cs="华文仿宋"/>
          <w:bCs/>
          <w:sz w:val="32"/>
          <w:szCs w:val="32"/>
        </w:rPr>
      </w:pPr>
      <w:r>
        <w:rPr>
          <w:rFonts w:hint="eastAsia" w:ascii="黑体" w:hAnsi="黑体" w:eastAsia="黑体" w:cs="华文仿宋"/>
          <w:bCs/>
          <w:sz w:val="32"/>
          <w:szCs w:val="32"/>
        </w:rPr>
        <w:t>附件2</w:t>
      </w:r>
    </w:p>
    <w:p>
      <w:pPr>
        <w:pStyle w:val="3"/>
        <w:spacing w:before="0" w:beforeAutospacing="0" w:after="0" w:afterAutospacing="0" w:line="620" w:lineRule="exact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“防风险除隐患保平安迎大庆”攻坚行动进展情况汇总表</w:t>
      </w:r>
    </w:p>
    <w:p>
      <w:pPr>
        <w:pStyle w:val="3"/>
        <w:spacing w:before="0" w:beforeAutospacing="0" w:after="0" w:afterAutospacing="0" w:line="620" w:lineRule="exact"/>
        <w:rPr>
          <w:rFonts w:hint="eastAsia" w:cs="华文仿宋"/>
          <w:bCs/>
        </w:rPr>
      </w:pPr>
    </w:p>
    <w:p>
      <w:pPr>
        <w:pStyle w:val="3"/>
        <w:spacing w:before="0" w:beforeAutospacing="0" w:after="0" w:afterAutospacing="0" w:line="620" w:lineRule="exact"/>
        <w:rPr>
          <w:rFonts w:cs="华文仿宋"/>
          <w:bCs/>
        </w:rPr>
      </w:pPr>
      <w:r>
        <w:rPr>
          <w:rFonts w:hint="eastAsia" w:cs="华文仿宋"/>
          <w:bCs/>
        </w:rPr>
        <w:t xml:space="preserve">  </w:t>
      </w:r>
      <w:r>
        <w:rPr>
          <w:rFonts w:hint="eastAsia" w:cs="华文仿宋"/>
          <w:bCs/>
          <w:sz w:val="28"/>
          <w:szCs w:val="28"/>
        </w:rPr>
        <w:t xml:space="preserve"> </w:t>
      </w:r>
      <w:r>
        <w:rPr>
          <w:rFonts w:hint="eastAsia" w:cs="华文仿宋"/>
          <w:bCs/>
        </w:rPr>
        <w:t>填报日期（盖章）：    年   月   日</w:t>
      </w:r>
    </w:p>
    <w:tbl>
      <w:tblPr>
        <w:tblStyle w:val="4"/>
        <w:tblpPr w:leftFromText="180" w:rightFromText="180" w:vertAnchor="text" w:horzAnchor="page" w:tblpXSpec="center" w:tblpY="138"/>
        <w:tblOverlap w:val="never"/>
        <w:tblW w:w="14307" w:type="dxa"/>
        <w:tblInd w:w="-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39"/>
        <w:gridCol w:w="859"/>
        <w:gridCol w:w="770"/>
        <w:gridCol w:w="770"/>
        <w:gridCol w:w="770"/>
        <w:gridCol w:w="770"/>
        <w:gridCol w:w="770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13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单位</w:t>
            </w:r>
          </w:p>
        </w:tc>
        <w:tc>
          <w:tcPr>
            <w:tcW w:w="85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检查</w:t>
            </w:r>
          </w:p>
          <w:p>
            <w:pPr>
              <w:autoSpaceDN w:val="0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企业</w:t>
            </w:r>
          </w:p>
          <w:p>
            <w:pPr>
              <w:autoSpaceDN w:val="0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数量</w:t>
            </w:r>
          </w:p>
          <w:p>
            <w:pPr>
              <w:autoSpaceDN w:val="0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（家/次）</w:t>
            </w:r>
          </w:p>
        </w:tc>
        <w:tc>
          <w:tcPr>
            <w:tcW w:w="38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排查治理隐患</w:t>
            </w:r>
          </w:p>
        </w:tc>
        <w:tc>
          <w:tcPr>
            <w:tcW w:w="38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行政</w:t>
            </w:r>
            <w:r>
              <w:rPr>
                <w:rFonts w:ascii="Times New Roman" w:hAnsi="Times New Roman"/>
                <w:szCs w:val="21"/>
              </w:rPr>
              <w:t>处罚</w:t>
            </w:r>
            <w:r>
              <w:rPr>
                <w:rFonts w:hint="eastAsia" w:ascii="Times New Roman" w:hAnsi="Times New Roman"/>
                <w:szCs w:val="21"/>
              </w:rPr>
              <w:t>数量</w:t>
            </w:r>
          </w:p>
        </w:tc>
        <w:tc>
          <w:tcPr>
            <w:tcW w:w="15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公开</w:t>
            </w:r>
            <w:r>
              <w:rPr>
                <w:rFonts w:ascii="Times New Roman" w:hAnsi="Times New Roman"/>
                <w:szCs w:val="21"/>
              </w:rPr>
              <w:t>曝光</w:t>
            </w:r>
          </w:p>
        </w:tc>
        <w:tc>
          <w:tcPr>
            <w:tcW w:w="307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问责单位和个人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2" w:hRule="atLeast"/>
        </w:trPr>
        <w:tc>
          <w:tcPr>
            <w:tcW w:w="113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8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一般隐患</w:t>
            </w:r>
          </w:p>
        </w:tc>
        <w:tc>
          <w:tcPr>
            <w:tcW w:w="15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重大隐患</w:t>
            </w:r>
          </w:p>
        </w:tc>
        <w:tc>
          <w:tcPr>
            <w:tcW w:w="77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整</w:t>
            </w:r>
          </w:p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改</w:t>
            </w:r>
          </w:p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率</w:t>
            </w:r>
          </w:p>
        </w:tc>
        <w:tc>
          <w:tcPr>
            <w:tcW w:w="76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关闭</w:t>
            </w:r>
            <w:r>
              <w:rPr>
                <w:rFonts w:ascii="Times New Roman" w:hAnsi="Times New Roman"/>
                <w:szCs w:val="21"/>
              </w:rPr>
              <w:br w:type="textWrapping"/>
            </w:r>
            <w:r>
              <w:rPr>
                <w:rFonts w:ascii="Times New Roman" w:hAnsi="Times New Roman"/>
                <w:szCs w:val="21"/>
              </w:rPr>
              <w:t>取缔</w:t>
            </w:r>
          </w:p>
        </w:tc>
        <w:tc>
          <w:tcPr>
            <w:tcW w:w="76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停产</w:t>
            </w:r>
            <w:r>
              <w:rPr>
                <w:rFonts w:ascii="Times New Roman" w:hAnsi="Times New Roman"/>
                <w:szCs w:val="21"/>
              </w:rPr>
              <w:br w:type="textWrapping"/>
            </w:r>
            <w:r>
              <w:rPr>
                <w:rFonts w:ascii="Times New Roman" w:hAnsi="Times New Roman"/>
                <w:szCs w:val="21"/>
              </w:rPr>
              <w:t>整顿</w:t>
            </w:r>
          </w:p>
        </w:tc>
        <w:tc>
          <w:tcPr>
            <w:tcW w:w="76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暂扣</w:t>
            </w:r>
          </w:p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吊销</w:t>
            </w:r>
          </w:p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证照</w:t>
            </w:r>
          </w:p>
        </w:tc>
        <w:tc>
          <w:tcPr>
            <w:tcW w:w="76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处罚</w:t>
            </w:r>
            <w:r>
              <w:rPr>
                <w:rFonts w:ascii="Times New Roman" w:hAnsi="Times New Roman"/>
                <w:szCs w:val="21"/>
              </w:rPr>
              <w:br w:type="textWrapping"/>
            </w:r>
            <w:r>
              <w:rPr>
                <w:rFonts w:ascii="Times New Roman" w:hAnsi="Times New Roman"/>
                <w:szCs w:val="21"/>
              </w:rPr>
              <w:t>罚款</w:t>
            </w:r>
          </w:p>
        </w:tc>
        <w:tc>
          <w:tcPr>
            <w:tcW w:w="76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移送</w:t>
            </w:r>
          </w:p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司法</w:t>
            </w:r>
          </w:p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机关</w:t>
            </w:r>
          </w:p>
        </w:tc>
        <w:tc>
          <w:tcPr>
            <w:tcW w:w="76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曝光</w:t>
            </w:r>
          </w:p>
        </w:tc>
        <w:tc>
          <w:tcPr>
            <w:tcW w:w="76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联合</w:t>
            </w:r>
          </w:p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惩戒</w:t>
            </w:r>
          </w:p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失信</w:t>
            </w:r>
          </w:p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企业</w:t>
            </w:r>
          </w:p>
        </w:tc>
        <w:tc>
          <w:tcPr>
            <w:tcW w:w="76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约谈</w:t>
            </w:r>
          </w:p>
        </w:tc>
        <w:tc>
          <w:tcPr>
            <w:tcW w:w="76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通报</w:t>
            </w:r>
          </w:p>
        </w:tc>
        <w:tc>
          <w:tcPr>
            <w:tcW w:w="76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下达</w:t>
            </w:r>
            <w:r>
              <w:rPr>
                <w:rFonts w:ascii="Times New Roman" w:hAnsi="Times New Roman"/>
                <w:szCs w:val="21"/>
              </w:rPr>
              <w:br w:type="textWrapping"/>
            </w:r>
            <w:r>
              <w:rPr>
                <w:rFonts w:ascii="Times New Roman" w:hAnsi="Times New Roman"/>
                <w:szCs w:val="21"/>
              </w:rPr>
              <w:t>整改令</w:t>
            </w:r>
          </w:p>
        </w:tc>
        <w:tc>
          <w:tcPr>
            <w:tcW w:w="76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党政纪</w:t>
            </w:r>
            <w:r>
              <w:rPr>
                <w:rFonts w:ascii="Times New Roman" w:hAnsi="Times New Roman"/>
                <w:szCs w:val="21"/>
              </w:rPr>
              <w:br w:type="textWrapping"/>
            </w:r>
            <w:r>
              <w:rPr>
                <w:rFonts w:ascii="Times New Roman" w:hAnsi="Times New Roman"/>
                <w:szCs w:val="21"/>
              </w:rPr>
              <w:t>处分</w:t>
            </w:r>
          </w:p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人员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13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textAlignment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8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排查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已整治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排查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已整治</w:t>
            </w:r>
          </w:p>
        </w:tc>
        <w:tc>
          <w:tcPr>
            <w:tcW w:w="77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76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76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76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76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76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76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76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76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76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76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76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exact"/>
        </w:trPr>
        <w:tc>
          <w:tcPr>
            <w:tcW w:w="113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85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textAlignment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（项）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（项）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（项）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（项）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（%）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（家）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（家）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（家）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（</w:t>
            </w:r>
            <w:r>
              <w:rPr>
                <w:rFonts w:ascii="Times New Roman" w:hAnsi="Times New Roman"/>
                <w:szCs w:val="21"/>
              </w:rPr>
              <w:t>万元）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（</w:t>
            </w:r>
            <w:r>
              <w:rPr>
                <w:rFonts w:hint="eastAsia" w:ascii="Times New Roman" w:hAnsi="Times New Roman"/>
                <w:szCs w:val="21"/>
              </w:rPr>
              <w:t>个</w:t>
            </w:r>
            <w:r>
              <w:rPr>
                <w:rFonts w:ascii="Times New Roman" w:hAnsi="Times New Roman"/>
                <w:szCs w:val="21"/>
              </w:rPr>
              <w:t>）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（次）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（家）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（个）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（个）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（个）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（人）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0" w:hRule="exact"/>
        </w:trPr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0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9" w:hRule="exact"/>
        </w:trPr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0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</w:p>
        </w:tc>
      </w:tr>
    </w:tbl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填表人：                  联系电话：                     分管负责人：                  主要负责人：</w:t>
      </w: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AC6160"/>
    <w:rsid w:val="46AC616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6">
    <w:name w:val="page number"/>
    <w:basedOn w:val="5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Office_11.1.0.8751_F1E327BC-269C-435d-A152-05C5408002CA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2019-07-02T03:00:00Z</dcterms:created>
  <dc:creator>Administrator</dc:creator>
  <cp:lastModifiedBy>Administrator</cp:lastModifiedBy>
  <dcterms:modified xsi:type="dcterms:W3CDTF">2019-07-02T03:00:57Z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2052-11.1.0.8751</vt:lpwstr>
  </property>
</Properties>
</file>