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ind w:firstLine="640" w:firstLineChars="200"/>
        <w:rPr>
          <w:rFonts w:ascii="仿宋" w:hAnsi="仿宋" w:eastAsia="仿宋" w:cs="仿宋"/>
          <w:sz w:val="28"/>
          <w:szCs w:val="22"/>
        </w:rPr>
      </w:pPr>
      <w:r>
        <w:rPr>
          <w:sz w:val="32"/>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27940</wp:posOffset>
                </wp:positionV>
                <wp:extent cx="973455" cy="313055"/>
                <wp:effectExtent l="13970" t="13970" r="22225" b="15875"/>
                <wp:wrapNone/>
                <wp:docPr id="9" name="文本框 2"/>
                <wp:cNvGraphicFramePr/>
                <a:graphic xmlns:a="http://schemas.openxmlformats.org/drawingml/2006/main">
                  <a:graphicData uri="http://schemas.microsoft.com/office/word/2010/wordprocessingShape">
                    <wps:wsp>
                      <wps:cNvSpPr txBox="1"/>
                      <wps:spPr>
                        <a:xfrm>
                          <a:off x="0" y="0"/>
                          <a:ext cx="973455" cy="313055"/>
                        </a:xfrm>
                        <a:prstGeom prst="rect">
                          <a:avLst/>
                        </a:prstGeom>
                        <a:solidFill>
                          <a:srgbClr val="FFFFFF"/>
                        </a:solidFill>
                        <a:ln w="28575" cap="flat" cmpd="sng">
                          <a:pattFill prst="sphere">
                            <a:fgClr>
                              <a:srgbClr val="000000"/>
                            </a:fgClr>
                            <a:bgClr>
                              <a:srgbClr val="FFFFFF"/>
                            </a:bgClr>
                          </a:pattFill>
                          <a:prstDash val="solid"/>
                          <a:miter/>
                          <a:headEnd type="none" w="med" len="med"/>
                          <a:tailEnd type="none" w="med" len="med"/>
                        </a:ln>
                      </wps:spPr>
                      <wps:txbx>
                        <w:txbxContent>
                          <w:p>
                            <w:pPr>
                              <w:spacing w:line="300" w:lineRule="exact"/>
                              <w:jc w:val="center"/>
                              <w:rPr>
                                <w:rFonts w:ascii="楷体" w:hAnsi="楷体" w:eastAsia="楷体" w:cs="楷体"/>
                                <w:sz w:val="32"/>
                                <w:szCs w:val="32"/>
                              </w:rPr>
                            </w:pPr>
                            <w:r>
                              <w:rPr>
                                <w:rFonts w:hint="eastAsia" w:ascii="楷体" w:hAnsi="楷体" w:eastAsia="楷体" w:cs="楷体"/>
                                <w:sz w:val="28"/>
                                <w:szCs w:val="28"/>
                              </w:rPr>
                              <w:t>行业资</w:t>
                            </w:r>
                            <w:r>
                              <w:rPr>
                                <w:rFonts w:hint="eastAsia" w:ascii="楷体" w:hAnsi="楷体" w:eastAsia="楷体" w:cs="楷体"/>
                                <w:w w:val="90"/>
                                <w:sz w:val="28"/>
                                <w:szCs w:val="28"/>
                              </w:rPr>
                              <w:t>讯</w:t>
                            </w:r>
                          </w:p>
                        </w:txbxContent>
                      </wps:txbx>
                      <wps:bodyPr upright="1"/>
                    </wps:wsp>
                  </a:graphicData>
                </a:graphic>
              </wp:anchor>
            </w:drawing>
          </mc:Choice>
          <mc:Fallback>
            <w:pict>
              <v:shape id="文本框 2" o:spid="_x0000_s1026" o:spt="202" type="#_x0000_t202" style="position:absolute;left:0pt;margin-left:0.2pt;margin-top:2.2pt;height:24.65pt;width:76.65pt;z-index:251665408;mso-width-relative:page;mso-height-relative:page;" fillcolor="#FFFFFF" filled="t" stroked="t" coordsize="21600,21600" o:gfxdata="UEsDBAoAAAAAAIdO4kAAAAAAAAAAAAAAAAAEAAAAZHJzL1BLAwQUAAAACACHTuJAQR1QANIAAAAF&#10;AQAADwAAAGRycy9kb3ducmV2LnhtbE2OzU7DMBCE70i8g7VI3KhToIBCnAohgdQTaumlt228jSPi&#10;dWq7f2/P5gSXHa1mNPNV87Pv1ZFi6gIbmE4KUMRNsB23BtbfH3cvoFJGttgHJgMXSjCvr68qLG04&#10;8ZKOq9wqKeFUogGX81BqnRpHHtMkDMTi7UL0mOWNrbYRT1Lue31fFE/aY8ey4HCgd0fNz+rgDSze&#10;3DJuZgta202rPy9fe7vze2Nub6bFK6hM5/wXhhFf0KEWpm04sE2qN/AoObkiozl7eAa1NTCqriv9&#10;n77+BVBLAwQUAAAACACHTuJA0PtOgygCAACBBAAADgAAAGRycy9lMm9Eb2MueG1srVTNjtMwEL4j&#10;8Q6W7zRpS9ndqOlKUMoFAdLCA0wdJ7HkP9luk74AvAEnLtx5rj7Hjp20y+5y6IEc0rH99Zv55htn&#10;edsrSfbceWF0SaeTnBKumamEbkr67evm1TUlPoCuQBrNS3rgnt6uXr5YdrbgM9MaWXFHkET7orMl&#10;bUOwRZZ51nIFfmIs13hYG6cg4NI1WeWgQ3Yls1mev8k64yrrDOPe4+56OKQjo7uE0NS1YHxt2E5x&#10;HQZWxyUElORbYT1dpWrrmrPwua49D0SWFJWG9MYkGG/jO1stoWgc2FawsQS4pIQnmhQIjUnPVGsI&#10;QHZOPKNSgjnjTR0mzKhsEJI6giqm+ZPe3LVgedKCrfb23HT//2jZp/0XR0RV0htKNCg0/Pjzx/HX&#10;n+Pv72QW29NZXyDqziIu9G9Nj0Nz2ve4GVX3tVPxF/UQPMfmHs7N5X0gDDdvruavFwtKGB7Np/Mc&#10;Y2TPHv5snQ8fuFEkBiV16F1qKew/+jBAT5CYyxspqo2QMi1cs30nHdkD+rxJz8j+CCY16Uo6u15c&#10;xUIAp7fGqcFQWeyA101KaCGESDwW4m3LXbQBirrBJM/y5ekZ850h239iH9U2QrAHp5SRO4pcg28H&#10;Man+yA2FEoG7FLUcqve6IuFg0TCN95RGYYpXlEiO1zpGCRlAyEuQWIPUaEd0e3A1RqHf9kgTw62p&#10;DjgBO+tE06I9aQYSHCcz+Tjeojj6f68T6cOXY3U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R1Q&#10;ANIAAAAFAQAADwAAAAAAAAABACAAAAAiAAAAZHJzL2Rvd25yZXYueG1sUEsBAhQAFAAAAAgAh07i&#10;QND7ToMoAgAAgQQAAA4AAAAAAAAAAQAgAAAAIQEAAGRycy9lMm9Eb2MueG1sUEsFBgAAAAAGAAYA&#10;WQEAALsFAAAAAA==&#10;">
                <v:fill on="t" focussize="0,0"/>
                <v:stroke r:id="rId5" weight="2.25pt" color="#000000" color2="#FFFFFF" joinstyle="miter" o:relid="rId5" filltype="pattern"/>
                <v:imagedata o:title=""/>
                <o:lock v:ext="edit" aspectratio="f"/>
                <v:textbox>
                  <w:txbxContent>
                    <w:p>
                      <w:pPr>
                        <w:spacing w:line="300" w:lineRule="exact"/>
                        <w:jc w:val="center"/>
                        <w:rPr>
                          <w:rFonts w:ascii="楷体" w:hAnsi="楷体" w:eastAsia="楷体" w:cs="楷体"/>
                          <w:sz w:val="32"/>
                          <w:szCs w:val="32"/>
                        </w:rPr>
                      </w:pPr>
                      <w:r>
                        <w:rPr>
                          <w:rFonts w:hint="eastAsia" w:ascii="楷体" w:hAnsi="楷体" w:eastAsia="楷体" w:cs="楷体"/>
                          <w:sz w:val="28"/>
                          <w:szCs w:val="28"/>
                        </w:rPr>
                        <w:t>行业资</w:t>
                      </w:r>
                      <w:r>
                        <w:rPr>
                          <w:rFonts w:hint="eastAsia" w:ascii="楷体" w:hAnsi="楷体" w:eastAsia="楷体" w:cs="楷体"/>
                          <w:w w:val="90"/>
                          <w:sz w:val="28"/>
                          <w:szCs w:val="28"/>
                        </w:rPr>
                        <w:t>讯</w:t>
                      </w:r>
                    </w:p>
                  </w:txbxContent>
                </v:textbox>
              </v:shape>
            </w:pict>
          </mc:Fallback>
        </mc:AlternateContent>
      </w:r>
    </w:p>
    <w:p>
      <w:pPr>
        <w:snapToGrid w:val="0"/>
        <w:spacing w:line="520" w:lineRule="exact"/>
        <w:ind w:firstLine="560" w:firstLineChars="200"/>
        <w:rPr>
          <w:rFonts w:ascii="仿宋" w:hAnsi="仿宋" w:eastAsia="仿宋" w:cs="仿宋"/>
          <w:sz w:val="28"/>
          <w:szCs w:val="22"/>
        </w:rPr>
      </w:pPr>
    </w:p>
    <w:p>
      <w:pPr>
        <w:snapToGrid w:val="0"/>
        <w:spacing w:line="52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住房和城乡建设部 市场监管总局印发</w:t>
      </w:r>
    </w:p>
    <w:p>
      <w:pPr>
        <w:snapToGrid w:val="0"/>
        <w:spacing w:line="52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《园林绿化工程施工合同示范文本（试行）》</w:t>
      </w:r>
    </w:p>
    <w:p>
      <w:pPr>
        <w:snapToGrid w:val="0"/>
        <w:spacing w:line="520" w:lineRule="exact"/>
        <w:ind w:firstLine="560" w:firstLineChars="200"/>
        <w:rPr>
          <w:rFonts w:ascii="仿宋" w:hAnsi="仿宋" w:eastAsia="仿宋" w:cs="仿宋"/>
          <w:sz w:val="28"/>
          <w:szCs w:val="22"/>
        </w:rPr>
      </w:pP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为规范园林绿化工程建设市场签约履约行为、促进园林绿化行业高质量发展，近日，住房和城乡建设部、市场监管总局联合制定《园林绿化工程施工合同示范文本（试行）》（以下简称《合同示范文本》），自明年1月1日起试行。</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合同示范文本》由合同协议书、通用合同条款和专用合同条款3部分组成。其中，合同协议书共16条，主要包括工程概况、合同工期、质量标准、签约合同价与合同价格形式、承包人项目负责人、预付款、绿化种植及养护要求、其他要求、合同文件构成、承诺以及合同生效条件等重要内容，集中约定了合同当事人基本的合同权利义务；通用合同条款共20条，采用《建设工程施工合同（示范文本）》中的“通用合同条款”；专用合同条款共20条，这是对通用合同条款原则性约定的细化、完善、补充、修改或另行约定的条款。合同当事人可以根据不同建设工程的特点及具体情况，通过双方的谈判、协商对相应的专用合同条款进行修改补充。</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据悉，《合同示范文本》为非强制性使用文本，适用于园林绿化工程的施工承发包活动，合同当事人可结合园林绿化工程具体情况，参照本合同示范文本订立合同，并按照法律法规规定和合同约定承担相应的法律责任及合同权利义务。</w:t>
      </w:r>
    </w:p>
    <w:p>
      <w:pPr>
        <w:widowControl/>
        <w:jc w:val="left"/>
        <w:rPr>
          <w:rFonts w:ascii="仿宋" w:hAnsi="仿宋" w:eastAsia="仿宋" w:cs="仿宋"/>
          <w:sz w:val="28"/>
          <w:szCs w:val="22"/>
        </w:rPr>
      </w:pPr>
      <w:r>
        <w:rPr>
          <w:rFonts w:ascii="仿宋" w:hAnsi="仿宋" w:eastAsia="仿宋" w:cs="仿宋"/>
          <w:sz w:val="28"/>
          <w:szCs w:val="22"/>
        </w:rPr>
        <w:br w:type="page"/>
      </w:r>
    </w:p>
    <w:p>
      <w:pPr>
        <w:snapToGrid w:val="0"/>
        <w:spacing w:line="52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全国新开工改造城镇老旧小区数量</w:t>
      </w:r>
    </w:p>
    <w:p>
      <w:pPr>
        <w:snapToGrid w:val="0"/>
        <w:spacing w:line="52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已完成年度计划任务的94.6%</w:t>
      </w:r>
    </w:p>
    <w:p>
      <w:pPr>
        <w:snapToGrid w:val="0"/>
        <w:spacing w:line="520" w:lineRule="exact"/>
        <w:ind w:firstLine="560" w:firstLineChars="200"/>
        <w:rPr>
          <w:rFonts w:ascii="仿宋" w:hAnsi="仿宋" w:eastAsia="仿宋" w:cs="仿宋"/>
          <w:sz w:val="28"/>
          <w:szCs w:val="22"/>
        </w:rPr>
      </w:pP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根据各地上报数据，2020年1—10月份，全国新开工改造城镇老旧小区3.7万个，涉及居民687.35万户。新开工改造小区数已经完成年度计划任务的94.6%。其中，海南、安徽、江苏、河北、甘肃、山东、内蒙古、北京、天津、吉林、广西、黑龙江、青海、上海、辽宁、宁夏等16省份已全部开工；湖北（88.9%）、新疆（85.6%）、陕西（85.3%）、四川（84.9%）、山西（77.3%）等5省份进展较慢。</w:t>
      </w:r>
    </w:p>
    <w:p>
      <w:pPr>
        <w:snapToGrid w:val="0"/>
        <w:spacing w:line="500" w:lineRule="exact"/>
        <w:jc w:val="center"/>
        <w:rPr>
          <w:rFonts w:ascii="方正小标宋简体" w:hAnsi="方正小标宋简体" w:eastAsia="方正小标宋简体" w:cs="方正小标宋简体"/>
          <w:b/>
          <w:bCs/>
          <w:sz w:val="32"/>
          <w:szCs w:val="32"/>
        </w:rPr>
      </w:pPr>
    </w:p>
    <w:p>
      <w:pPr>
        <w:snapToGrid w:val="0"/>
        <w:spacing w:line="50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5.8万城镇老旧小区完成改造</w:t>
      </w:r>
    </w:p>
    <w:p>
      <w:pPr>
        <w:snapToGrid w:val="0"/>
        <w:spacing w:line="510" w:lineRule="exact"/>
        <w:ind w:firstLine="560" w:firstLineChars="200"/>
        <w:rPr>
          <w:rFonts w:ascii="仿宋" w:hAnsi="仿宋" w:eastAsia="仿宋" w:cs="仿宋"/>
          <w:sz w:val="28"/>
          <w:szCs w:val="22"/>
        </w:rPr>
      </w:pPr>
    </w:p>
    <w:p>
      <w:pPr>
        <w:snapToGrid w:val="0"/>
        <w:spacing w:line="510" w:lineRule="exact"/>
        <w:ind w:firstLine="560" w:firstLineChars="200"/>
        <w:rPr>
          <w:rFonts w:ascii="仿宋" w:hAnsi="仿宋" w:eastAsia="仿宋" w:cs="仿宋"/>
          <w:sz w:val="28"/>
          <w:szCs w:val="22"/>
        </w:rPr>
      </w:pPr>
      <w:r>
        <w:rPr>
          <w:rFonts w:hint="eastAsia" w:ascii="仿宋" w:hAnsi="仿宋" w:eastAsia="仿宋" w:cs="仿宋"/>
          <w:sz w:val="28"/>
          <w:szCs w:val="22"/>
        </w:rPr>
        <w:t>老旧小区改造是城市更新的重要一环，事关千家万户。“十三五”期间，各地着力通过老旧小区改造的一小步，实现民生改善和经济发展的一大步。</w:t>
      </w:r>
    </w:p>
    <w:p>
      <w:pPr>
        <w:snapToGrid w:val="0"/>
        <w:spacing w:line="510" w:lineRule="exact"/>
        <w:ind w:firstLine="560" w:firstLineChars="200"/>
        <w:rPr>
          <w:rFonts w:ascii="仿宋" w:hAnsi="仿宋" w:eastAsia="仿宋" w:cs="仿宋"/>
          <w:sz w:val="28"/>
          <w:szCs w:val="22"/>
        </w:rPr>
      </w:pPr>
      <w:r>
        <w:rPr>
          <w:rFonts w:hint="eastAsia" w:ascii="仿宋" w:hAnsi="仿宋" w:eastAsia="仿宋" w:cs="仿宋"/>
          <w:sz w:val="28"/>
          <w:szCs w:val="22"/>
        </w:rPr>
        <w:t>走进郑州二七区祥云里小区，很难想象这是一个建于上世纪八十年代的老小区。</w:t>
      </w:r>
    </w:p>
    <w:p>
      <w:pPr>
        <w:snapToGrid w:val="0"/>
        <w:spacing w:line="510" w:lineRule="exact"/>
        <w:ind w:firstLine="560" w:firstLineChars="200"/>
        <w:rPr>
          <w:rFonts w:ascii="仿宋" w:hAnsi="仿宋" w:eastAsia="仿宋" w:cs="仿宋"/>
          <w:sz w:val="28"/>
          <w:szCs w:val="22"/>
        </w:rPr>
      </w:pPr>
      <w:r>
        <w:rPr>
          <w:rFonts w:hint="eastAsia" w:ascii="仿宋" w:hAnsi="仿宋" w:eastAsia="仿宋" w:cs="仿宋"/>
          <w:sz w:val="28"/>
          <w:szCs w:val="22"/>
        </w:rPr>
        <w:t>与王爱荣一样高兴的，还有远在上海的严阿姨，因为她再也不用为爬楼而发愁了。</w:t>
      </w:r>
    </w:p>
    <w:p>
      <w:pPr>
        <w:snapToGrid w:val="0"/>
        <w:spacing w:line="510" w:lineRule="exact"/>
        <w:ind w:firstLine="560" w:firstLineChars="200"/>
        <w:rPr>
          <w:rFonts w:ascii="仿宋" w:hAnsi="仿宋" w:eastAsia="仿宋" w:cs="仿宋"/>
          <w:sz w:val="28"/>
          <w:szCs w:val="22"/>
        </w:rPr>
      </w:pPr>
      <w:r>
        <w:rPr>
          <w:rFonts w:hint="eastAsia" w:ascii="仿宋" w:hAnsi="仿宋" w:eastAsia="仿宋" w:cs="仿宋"/>
          <w:sz w:val="28"/>
          <w:szCs w:val="22"/>
        </w:rPr>
        <w:t>王爱荣与严阿姨的高兴都源自于政府实施的老旧小区改造工程。2015年，中央城市工作会议明确提出要加快老旧小区改造，随后改造力度逐年加大，2019年中央补助资金达550多亿元，今年又安排中央补助资金850多亿元。此外，住房城乡建设部今年还推动金融机构拿出4360亿元贷款，支持老旧小区改造。</w:t>
      </w:r>
    </w:p>
    <w:p>
      <w:pPr>
        <w:snapToGrid w:val="0"/>
        <w:spacing w:line="510" w:lineRule="exact"/>
        <w:ind w:firstLine="560" w:firstLineChars="200"/>
        <w:rPr>
          <w:rFonts w:ascii="仿宋" w:hAnsi="仿宋" w:eastAsia="仿宋" w:cs="仿宋"/>
          <w:sz w:val="28"/>
          <w:szCs w:val="22"/>
        </w:rPr>
      </w:pPr>
      <w:r>
        <w:rPr>
          <w:rFonts w:hint="eastAsia" w:ascii="仿宋" w:hAnsi="仿宋" w:eastAsia="仿宋" w:cs="仿宋"/>
          <w:sz w:val="28"/>
          <w:szCs w:val="22"/>
        </w:rPr>
        <w:t>在加大投入的同时，改造的范围也从水、电、暖等基础设施的改造，扩大到电梯、养老托幼、家政等各类公共服务设施的建设。在山东济宁，改造不再局限于一个小区一栋楼，而是小区间联动改造。康桥华居小区就和周边的两个小区共同将区域内的闲置商铺、楼宇打包在一起，拿出来向社会招标。这样不仅引来了物业，还让小区第一次有了社区医疗、生活服务中心等设施。</w:t>
      </w:r>
    </w:p>
    <w:p>
      <w:pPr>
        <w:snapToGrid w:val="0"/>
        <w:spacing w:line="510" w:lineRule="exact"/>
        <w:ind w:firstLine="560" w:firstLineChars="200"/>
        <w:rPr>
          <w:rFonts w:ascii="仿宋" w:hAnsi="仿宋" w:eastAsia="仿宋" w:cs="仿宋"/>
          <w:sz w:val="28"/>
          <w:szCs w:val="22"/>
        </w:rPr>
      </w:pPr>
      <w:r>
        <w:rPr>
          <w:rFonts w:hint="eastAsia" w:ascii="仿宋" w:hAnsi="仿宋" w:eastAsia="仿宋" w:cs="仿宋"/>
          <w:sz w:val="28"/>
          <w:szCs w:val="22"/>
        </w:rPr>
        <w:t>为了鼓励社会资本参与，今年国家又专门出台指导意见，围绕金融优惠、税费减免等拿出一系列扶持政策，吸引了一大批企业积极投身参与老旧小区改造。</w:t>
      </w:r>
    </w:p>
    <w:p>
      <w:pPr>
        <w:snapToGrid w:val="0"/>
        <w:spacing w:line="510" w:lineRule="exact"/>
        <w:ind w:firstLine="560" w:firstLineChars="200"/>
        <w:rPr>
          <w:rFonts w:ascii="仿宋" w:hAnsi="仿宋" w:eastAsia="仿宋" w:cs="仿宋"/>
          <w:sz w:val="28"/>
          <w:szCs w:val="22"/>
        </w:rPr>
      </w:pPr>
      <w:r>
        <w:rPr>
          <w:rFonts w:hint="eastAsia" w:ascii="仿宋" w:hAnsi="仿宋" w:eastAsia="仿宋" w:cs="仿宋"/>
          <w:sz w:val="28"/>
          <w:szCs w:val="22"/>
        </w:rPr>
        <w:t>在北京朝阳区的望京，这段300多米长的街区原本无人管理、车辆拥挤，在政府和社会资本双方共同投入参与的情况下，几个月就改头换面。</w:t>
      </w:r>
    </w:p>
    <w:p>
      <w:pPr>
        <w:snapToGrid w:val="0"/>
        <w:spacing w:line="510" w:lineRule="exact"/>
        <w:ind w:firstLine="560" w:firstLineChars="200"/>
        <w:rPr>
          <w:rFonts w:ascii="仿宋" w:hAnsi="仿宋" w:eastAsia="仿宋" w:cs="仿宋"/>
          <w:sz w:val="28"/>
          <w:szCs w:val="22"/>
        </w:rPr>
      </w:pPr>
      <w:r>
        <w:rPr>
          <w:rFonts w:hint="eastAsia" w:ascii="仿宋" w:hAnsi="仿宋" w:eastAsia="仿宋" w:cs="仿宋"/>
          <w:sz w:val="28"/>
          <w:szCs w:val="22"/>
        </w:rPr>
        <w:t>随着改造进度的不断加快，截至10月底，今年计划改造的城镇老旧小区已开工3.7万个，开工率达到94.6%。目前，2019年、2020年全国共改造5.8万个城镇老旧小区，惠及居民1043万户。</w:t>
      </w:r>
    </w:p>
    <w:p>
      <w:pPr>
        <w:snapToGrid w:val="0"/>
        <w:spacing w:line="520" w:lineRule="exact"/>
        <w:ind w:firstLine="560" w:firstLineChars="200"/>
        <w:rPr>
          <w:rFonts w:ascii="仿宋" w:hAnsi="仿宋" w:eastAsia="仿宋" w:cs="仿宋"/>
          <w:sz w:val="28"/>
          <w:szCs w:val="22"/>
        </w:rPr>
      </w:pPr>
    </w:p>
    <w:p>
      <w:pPr>
        <w:snapToGrid w:val="0"/>
        <w:spacing w:line="52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建设工程企业资质审批条件进一步大幅精简</w:t>
      </w:r>
    </w:p>
    <w:p>
      <w:pPr>
        <w:snapToGrid w:val="0"/>
        <w:spacing w:line="520" w:lineRule="exact"/>
        <w:jc w:val="center"/>
        <w:rPr>
          <w:rFonts w:ascii="楷体" w:hAnsi="楷体" w:eastAsia="楷体" w:cs="方正小标宋简体"/>
          <w:sz w:val="28"/>
          <w:szCs w:val="28"/>
        </w:rPr>
      </w:pPr>
      <w:r>
        <w:rPr>
          <w:rFonts w:hint="eastAsia" w:ascii="楷体" w:hAnsi="楷体" w:eastAsia="楷体" w:cs="方正小标宋简体"/>
          <w:sz w:val="28"/>
          <w:szCs w:val="28"/>
        </w:rPr>
        <w:t>——住房和城乡建设部推进建设工程企业资质管理制度</w:t>
      </w:r>
      <w:r>
        <w:rPr>
          <w:rFonts w:ascii="楷体" w:hAnsi="楷体" w:eastAsia="楷体" w:cs="方正小标宋简体"/>
          <w:sz w:val="28"/>
          <w:szCs w:val="28"/>
        </w:rPr>
        <w:br w:type="textWrapping"/>
      </w:r>
      <w:r>
        <w:rPr>
          <w:rFonts w:hint="eastAsia" w:ascii="楷体" w:hAnsi="楷体" w:eastAsia="楷体" w:cs="方正小标宋简体"/>
          <w:sz w:val="28"/>
          <w:szCs w:val="28"/>
        </w:rPr>
        <w:t>改革工作取得新进展</w:t>
      </w:r>
    </w:p>
    <w:p>
      <w:pPr>
        <w:snapToGrid w:val="0"/>
        <w:spacing w:line="520" w:lineRule="exact"/>
        <w:ind w:firstLine="560" w:firstLineChars="200"/>
        <w:rPr>
          <w:rFonts w:ascii="仿宋" w:hAnsi="仿宋" w:eastAsia="仿宋" w:cs="仿宋"/>
          <w:sz w:val="28"/>
          <w:szCs w:val="22"/>
        </w:rPr>
      </w:pP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针对建设工程企业资质类别过细、等级过多、准入门槛高手续繁等问题，11月11日召开的国务院常务会议提出，在全国大幅压减建设工程企业资质并加强监管。会议明确，将工程勘察、设计、施工、监理企业资质类别和等级由593项减至245项，除最高等级综合资质和需跨部门审批的资质外，其他等级资质一律下放至省级及以下部门审批。</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在11月24日召开的国务院政策例行吹风会上，住房和城乡建设部副部长易军表示，国务院常务会议已审议通过《建设工程企业资质管理制度改革方案》（以下简称《改革方案》）。《改革方案》实施后，将进一步优化营商环境、激发市场主体活力，为扩大消费和有效投资创造有利条件。</w:t>
      </w:r>
    </w:p>
    <w:p>
      <w:pPr>
        <w:snapToGrid w:val="0"/>
        <w:spacing w:before="312" w:beforeLines="100" w:after="312" w:afterLines="100" w:line="520" w:lineRule="exact"/>
        <w:jc w:val="center"/>
        <w:rPr>
          <w:rFonts w:ascii="黑体" w:hAnsi="黑体" w:eastAsia="黑体" w:cs="方正小标宋简体"/>
          <w:sz w:val="28"/>
          <w:szCs w:val="28"/>
        </w:rPr>
      </w:pPr>
      <w:r>
        <w:rPr>
          <w:rFonts w:hint="eastAsia" w:ascii="黑体" w:hAnsi="黑体" w:eastAsia="黑体" w:cs="方正小标宋简体"/>
          <w:sz w:val="28"/>
          <w:szCs w:val="28"/>
        </w:rPr>
        <w:t>出台深化改革方案　大幅压减资质类别等级</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健全企业资质管理制度、放宽市场准入是工程建设领域深化“放管服”改革、优化营商环境的重要内容。2019年8月，国务院办公厅发布《全国深化“放管服”改革优化营商环境电视电话会议重点任务分工方案》，提出大幅压减企业资质资格认定事项，力争2020年年底前将工程建设、测绘等领域企业资质类别、等级压减1/3以上，凡是能由市场机制调节的一律取消，对保留的事项要精简资质类别、归并等级设置。</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按照国务院部署要求，住房和城乡建设部会同有关部门在充分研究论证的基础上，起草了《改革方案》，并于11月11日召开的国务院常务会议上审议通过。易军表示，《改革方案》提出了六个方面的改革举措：</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一是精简资质类别，归并等级设置。改革后，现有的593项企业资质类别和等级将压减至245项，其中勘察资质由26项压减为7项、设计资质由395项压减为156项、施工资质由138项压减为61项、监理资质由34项压减为21项，压减幅度为59%。</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二是放宽准入限制，激发企业活力。在压减资质数量的同时，进一步精简企业资质审批条件，精简资质标准，重点放宽资金、人员、业绩、技术装备等指标要求，大幅放宽准入限制。</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三是下放审批权限，方便企业办事。开展企业资质审批权下放试点，试点内容是：除最高等级综合资质和需跨部门审批的资质外，将其他等级资质下放至省级及以下有关主管部门审批。同时，加强对试点地区的监督指导，对存在违规审批的，严肃处理并收回审批权。</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四是优化审批服务，推行告知承诺制。加快推行资质审批告知承诺制，大幅削减不必要的证明材料，全面实行全程网上申报和审批，大幅提升企业资质审批的规范化和便利化水平。</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五是加强事中事后监管，保障工程质量安全。加大审批后动态监管力度，积极推进信用体系建设。强化个人执业资格管理，建立个人执业责任保险制度。</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六是完善招投标制度，发挥市场机制作用。继续完善招投标制度，优化调整招标条件设置，引导建设单位更多从企业实力、技术力量、管理经验等方面选择企业，推行工程担保和保险制度。</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易军强调，相比以往，此次建设工程企业资质管理制度改革有三大特点。</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一是改革力度更大。企业资质类别和等级数量由593项压减至245项，幅度达到59%，远远超过了最初确定的1/3的目标。同时，大幅放宽市场准入限制。改革后，房建、公路、铁路、港口与航道、水利水电、电力、矿山、冶炼、石油化工和市政10个类别施工特级资质整合为综合资质，可以承担各行业、各等级施工总承包业务，大大拓宽了企业承揽业务范围，实现了横向全部打通。今后，只要企业有信誉、有能力，就可以跨行业承揽业务。</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二是改革的协同性更好。统筹考虑勘察、设计、施工、监理4类资质具体情况制定改革措施，既兼顾了4类资质的各自特点，又统筹谋划，在资质名称、类别、等级等方面力求统一。下一步，住房和城乡建设部将整合勘察、设计、施工、监理等资质的管理规定，并在修订资质标准时做好相互衔接。</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三是企业的获得感更强。《改革方案》大幅精简审批条件，适当放宽有关指标要求，特别是对大家反映较多的注册人员、技术装备、工程业绩等指标的要求大幅放宽。同时，实行告知承诺制，更有利于企业便利化申报，为企业提供了方便。此外，将所有的资质等级原则上都压减为甲乙两级，有的资质只设置一个等级，放宽部分资质承揽业务范围，对中小企业是极大利好，有利于企业孵化和成长，促进建筑业健康发展。</w:t>
      </w:r>
    </w:p>
    <w:p>
      <w:pPr>
        <w:snapToGrid w:val="0"/>
        <w:spacing w:before="312" w:beforeLines="100" w:after="312" w:afterLines="100" w:line="520" w:lineRule="exact"/>
        <w:jc w:val="center"/>
        <w:rPr>
          <w:rFonts w:ascii="黑体" w:hAnsi="黑体" w:eastAsia="黑体" w:cs="方正小标宋简体"/>
          <w:sz w:val="28"/>
          <w:szCs w:val="28"/>
        </w:rPr>
      </w:pPr>
      <w:r>
        <w:rPr>
          <w:rFonts w:hint="eastAsia" w:ascii="黑体" w:hAnsi="黑体" w:eastAsia="黑体" w:cs="方正小标宋简体"/>
          <w:sz w:val="28"/>
          <w:szCs w:val="28"/>
        </w:rPr>
        <w:t>扩大告知承诺制实施范围　持续优化营商环境</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当前，随着“放管服”改革的持续深入进行，不必要的审批和证明事项减少，放权于企业、还权给民众已成为政府改革的重点。近年来，住房和城乡建设部积极践行以人民为中心的发展思想，扎实落实党中央、国务院决策部署，将告知承诺制改革不断推向深入，取得了较好效果。</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在吹风会上，易军介绍说，2017年，住房和城乡建设部开始在北京、上海、浙江部分施工企业开展资质告知承诺制审批试点；2018年，试点地区扩大到江西、河南、四川、山西等省；2019年4月，在全国范围对建筑工程、市政公用工程施工总承包一级资质审批实行告知承诺制，同时在10个省市开展工程监理企业资质告知承诺制审批试点；2019年12月，将试点范围扩大到全国所有的自由贸易试验区。</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通过实施告知承诺制，企业根据资质标准作出符合审批条件的承诺，所有的相关证明材料不需要报送，同时实行全过程无纸化网上申报和审批，大大减轻了企业负担。同时，实行告知承诺制，将事前审批转为事中事后监管，通过业绩实地核查，对以虚假承诺等不正当手段取得资质的企业，依法给予处罚，并撤消其资质、资格许可，三年内不再受理该企业提出的资质、资格许可申请，将其列入“黑名单”，营造良性发展的市场环境，有利于企业健康发展。</w:t>
      </w:r>
    </w:p>
    <w:p>
      <w:pPr>
        <w:snapToGrid w:val="0"/>
        <w:spacing w:before="312" w:beforeLines="100" w:after="312" w:afterLines="100" w:line="520" w:lineRule="exact"/>
        <w:jc w:val="center"/>
        <w:rPr>
          <w:rFonts w:ascii="黑体" w:hAnsi="黑体" w:eastAsia="黑体" w:cs="方正小标宋简体"/>
          <w:sz w:val="28"/>
          <w:szCs w:val="28"/>
        </w:rPr>
      </w:pPr>
      <w:r>
        <w:rPr>
          <w:rFonts w:hint="eastAsia" w:ascii="黑体" w:hAnsi="黑体" w:eastAsia="黑体" w:cs="方正小标宋简体"/>
          <w:sz w:val="28"/>
          <w:szCs w:val="28"/>
        </w:rPr>
        <w:t>强化事中事后监管　保障工程质量安全</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强化事中事后监管是全面深化改革、完善社会主义市场经济体制的重要内容，也是提高政府治理能力的关键举措。随着改革的进一步深入，如何以公正监管促进公平竞争，在确保工程质量安全的同时，加快打造市场化、法治化、国际化营商环境步伐，是各界关注的焦点。</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易军指出，对于此次改革，住房和城乡建设部将坚持“两手抓”：一手抓简政放权，大幅压减企业类别和等级；一手抓事中事后监管，加大资质审批后的动态监管力度，特别是强化工程质量安全监管。为此，住房和城乡建设部制定了五项举措：</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一是充分利用信息化等手段，对企业取得资质后是否继续符合资质标准进行动态核查，对经核查认定不再符合相应资质标准的企业，撤回其资质，对存在违法违规行为的注册人员给予相应的行政处罚，甚至吊销证书。</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二是全面推行“双随机、一公开”监管和“互联网﹢监管”模式，对投诉举报较多的企业加大抽查频次，进一步提升监管效能。</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三是严格监管执法，强化工程建设各方主体的责任落实，加大对转包、违法分包、资质挂靠等违法违规行为的处罚力度。对工程质量安全问题突出的，依法依规严肃惩戒，切实落实工程质量终身责任制，确保工程质量安全。</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四是推进建筑市场信用体系建设，进一步完善“黑名单”制度，对失信企业在资质升级、业务承揽等方面予以限制。同时推行工程担保和保险制度，进一步发挥市场机制作用，规范工程建设各方主体行为，有效控制工程风险。</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五是强化个人执业资格管理，明确注册人员在建设活动中的权利、义务和责任，推动建立个人执业责任保险制度，执业资格必须与岗位挂钩，终身问责，为保障工程质量安全提供有力支撑。</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资质是企业参与市场竞争的“通行证”。企业资质等级高低，是企业实力的重要体现，资质改革关乎行业发展全局。易军表示，下一步，住房和城乡建设部将认真贯彻落实党的十九届五中全会精神，按照党中央、国务院决策部署，加强与国务院相关部门和地方的协同联动，抓紧做好改革实施工作，推动相关改革举措尽快落地落细，切实降低企业准入门槛、激发市场主体发展活力、进一步优化建筑市场营商环境，促进建筑业高质量发展。</w:t>
      </w:r>
    </w:p>
    <w:p>
      <w:pPr>
        <w:snapToGrid w:val="0"/>
        <w:spacing w:line="510" w:lineRule="exact"/>
        <w:ind w:firstLine="560" w:firstLineChars="200"/>
        <w:rPr>
          <w:rFonts w:ascii="仿宋" w:hAnsi="仿宋" w:eastAsia="仿宋" w:cs="仿宋"/>
          <w:sz w:val="28"/>
          <w:szCs w:val="22"/>
        </w:rPr>
      </w:pPr>
    </w:p>
    <w:p>
      <w:pPr>
        <w:snapToGrid w:val="0"/>
        <w:spacing w:line="51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国务院将畅通举报投诉渠道</w:t>
      </w:r>
    </w:p>
    <w:p>
      <w:pPr>
        <w:snapToGrid w:val="0"/>
        <w:spacing w:line="510" w:lineRule="exact"/>
        <w:ind w:firstLine="560" w:firstLineChars="200"/>
        <w:rPr>
          <w:rFonts w:ascii="仿宋" w:hAnsi="仿宋" w:eastAsia="仿宋" w:cs="仿宋"/>
          <w:sz w:val="28"/>
          <w:szCs w:val="22"/>
        </w:rPr>
      </w:pPr>
    </w:p>
    <w:p>
      <w:pPr>
        <w:snapToGrid w:val="0"/>
        <w:spacing w:line="510" w:lineRule="exact"/>
        <w:ind w:firstLine="560" w:firstLineChars="200"/>
        <w:rPr>
          <w:rFonts w:ascii="仿宋" w:hAnsi="仿宋" w:eastAsia="仿宋" w:cs="仿宋"/>
          <w:sz w:val="28"/>
          <w:szCs w:val="22"/>
        </w:rPr>
      </w:pPr>
      <w:r>
        <w:rPr>
          <w:rFonts w:hint="eastAsia" w:ascii="仿宋" w:hAnsi="仿宋" w:eastAsia="仿宋" w:cs="仿宋"/>
          <w:sz w:val="28"/>
          <w:szCs w:val="22"/>
        </w:rPr>
        <w:t>国务院根治拖欠农民工工资工作领导小组23日召开电视电话会议，分析研判工作形势，对根治欠薪冬季专项行动进行动员部署。会议提出，要全面排查、及时消除欠薪隐患，畅通农民工举报投诉渠道，限时解决欠薪问题。</w:t>
      </w:r>
    </w:p>
    <w:p>
      <w:pPr>
        <w:snapToGrid w:val="0"/>
        <w:spacing w:line="510" w:lineRule="exact"/>
        <w:ind w:firstLine="560" w:firstLineChars="200"/>
        <w:rPr>
          <w:rFonts w:ascii="仿宋" w:hAnsi="仿宋" w:eastAsia="仿宋" w:cs="仿宋"/>
          <w:sz w:val="28"/>
          <w:szCs w:val="22"/>
        </w:rPr>
      </w:pPr>
      <w:r>
        <w:rPr>
          <w:rFonts w:hint="eastAsia" w:ascii="仿宋" w:hAnsi="仿宋" w:eastAsia="仿宋" w:cs="仿宋"/>
          <w:sz w:val="28"/>
          <w:szCs w:val="22"/>
        </w:rPr>
        <w:t>会议强调，要强化政治担当，压实工作责任，加强督导考核，做好宣传引导，以科学有效的机制举措和真抓实干的工作作风开展根治欠薪冬季专项行动，确保取得实效。要深入分析欠薪问题产生的原因，分类施策、依法处理欠薪行为，完善预案、妥善处置群体性事件。</w:t>
      </w:r>
    </w:p>
    <w:p>
      <w:pPr>
        <w:snapToGrid w:val="0"/>
        <w:spacing w:line="510" w:lineRule="exact"/>
        <w:ind w:firstLine="560" w:firstLineChars="200"/>
        <w:rPr>
          <w:rFonts w:ascii="仿宋" w:hAnsi="仿宋" w:eastAsia="仿宋" w:cs="仿宋"/>
          <w:sz w:val="28"/>
          <w:szCs w:val="22"/>
        </w:rPr>
      </w:pPr>
      <w:r>
        <w:rPr>
          <w:rFonts w:hint="eastAsia" w:ascii="仿宋" w:hAnsi="仿宋" w:eastAsia="仿宋" w:cs="仿宋"/>
          <w:sz w:val="28"/>
          <w:szCs w:val="22"/>
        </w:rPr>
        <w:t>会议指出，近年来，各地区、各有关部门加强组织领导，完善制度机制，强化执法检查，欠薪问题多发高发态势得到有效遏制。特别是今年以来，以贯彻实施《保障农民工工资支付条例》为抓手，推动各项工资支付保障制度落实落地，妥善解决各类欠薪问题，根治欠薪工作取得新进展。</w:t>
      </w:r>
    </w:p>
    <w:p>
      <w:pPr>
        <w:snapToGrid w:val="0"/>
        <w:spacing w:line="510" w:lineRule="exact"/>
        <w:ind w:firstLine="560" w:firstLineChars="200"/>
        <w:rPr>
          <w:rFonts w:ascii="仿宋" w:hAnsi="仿宋" w:eastAsia="仿宋" w:cs="仿宋"/>
          <w:sz w:val="28"/>
          <w:szCs w:val="22"/>
        </w:rPr>
      </w:pPr>
      <w:r>
        <w:rPr>
          <w:rFonts w:hint="eastAsia" w:ascii="仿宋" w:hAnsi="仿宋" w:eastAsia="仿宋" w:cs="仿宋"/>
          <w:sz w:val="28"/>
          <w:szCs w:val="22"/>
        </w:rPr>
        <w:t>会上，国务院根治拖欠农民工工资工作领导小组副组长、人力资源和社会保障部部长张纪南代表领导小组讲话，住房和城乡建设部、全国总工会负责同志就本系统做好2021年春节前保障农民工工资支付工作作出部署，江苏省、广西壮族自治区政府负责同志介绍本地区根治欠薪工作进展和下一步工作打算。</w:t>
      </w:r>
    </w:p>
    <w:p>
      <w:pPr>
        <w:snapToGrid w:val="0"/>
        <w:spacing w:line="510" w:lineRule="exact"/>
        <w:ind w:firstLine="560" w:firstLineChars="200"/>
        <w:rPr>
          <w:rFonts w:ascii="仿宋" w:hAnsi="仿宋" w:eastAsia="仿宋" w:cs="仿宋"/>
          <w:sz w:val="28"/>
          <w:szCs w:val="22"/>
        </w:rPr>
      </w:pPr>
    </w:p>
    <w:p>
      <w:pPr>
        <w:snapToGrid w:val="0"/>
        <w:spacing w:line="510" w:lineRule="exact"/>
        <w:ind w:firstLine="560" w:firstLineChars="200"/>
        <w:rPr>
          <w:rFonts w:hint="eastAsia" w:ascii="仿宋" w:hAnsi="仿宋" w:eastAsia="仿宋" w:cs="仿宋"/>
          <w:sz w:val="28"/>
          <w:szCs w:val="22"/>
        </w:rPr>
      </w:pPr>
    </w:p>
    <w:p>
      <w:pPr>
        <w:snapToGrid w:val="0"/>
        <w:spacing w:line="51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国办印发《全国深化“放管服”</w:t>
      </w:r>
    </w:p>
    <w:p>
      <w:pPr>
        <w:snapToGrid w:val="0"/>
        <w:spacing w:line="51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改革优化营商环境电视电话会议重点任务分工方案》</w:t>
      </w:r>
    </w:p>
    <w:p>
      <w:pPr>
        <w:snapToGrid w:val="0"/>
        <w:spacing w:line="510" w:lineRule="exact"/>
        <w:jc w:val="center"/>
        <w:rPr>
          <w:rFonts w:ascii="楷体" w:hAnsi="楷体" w:eastAsia="楷体" w:cs="方正小标宋简体"/>
          <w:sz w:val="28"/>
          <w:szCs w:val="28"/>
        </w:rPr>
      </w:pPr>
      <w:r>
        <w:rPr>
          <w:rFonts w:hint="eastAsia" w:ascii="楷体" w:hAnsi="楷体" w:eastAsia="楷体" w:cs="方正小标宋简体"/>
          <w:sz w:val="28"/>
          <w:szCs w:val="28"/>
        </w:rPr>
        <w:t>6项具体措施由住房和城乡建设部牵头或分工负责</w:t>
      </w:r>
    </w:p>
    <w:p>
      <w:pPr>
        <w:snapToGrid w:val="0"/>
        <w:spacing w:line="510" w:lineRule="exact"/>
        <w:ind w:firstLine="560" w:firstLineChars="200"/>
        <w:rPr>
          <w:rFonts w:ascii="仿宋" w:hAnsi="仿宋" w:eastAsia="仿宋" w:cs="仿宋"/>
          <w:sz w:val="28"/>
          <w:szCs w:val="22"/>
        </w:rPr>
      </w:pPr>
    </w:p>
    <w:p>
      <w:pPr>
        <w:snapToGrid w:val="0"/>
        <w:spacing w:line="510" w:lineRule="exact"/>
        <w:ind w:firstLine="560" w:firstLineChars="200"/>
        <w:rPr>
          <w:rFonts w:ascii="仿宋" w:hAnsi="仿宋" w:eastAsia="仿宋" w:cs="仿宋"/>
          <w:sz w:val="28"/>
          <w:szCs w:val="22"/>
        </w:rPr>
      </w:pPr>
      <w:r>
        <w:rPr>
          <w:rFonts w:hint="eastAsia" w:ascii="仿宋" w:hAnsi="仿宋" w:eastAsia="仿宋" w:cs="仿宋"/>
          <w:sz w:val="28"/>
          <w:szCs w:val="22"/>
        </w:rPr>
        <w:t>国务院办公厅日前印发《全国深化“放管服”改革优化营商环境电视电话会议重点任务分工方案》（以下简称《分工方案》），对下一阶段深化“放管服”改革优化营商环境工作作出部署。</w:t>
      </w:r>
    </w:p>
    <w:p>
      <w:pPr>
        <w:snapToGrid w:val="0"/>
        <w:spacing w:line="510" w:lineRule="exact"/>
        <w:ind w:firstLine="560" w:firstLineChars="200"/>
        <w:rPr>
          <w:rFonts w:ascii="仿宋" w:hAnsi="仿宋" w:eastAsia="仿宋" w:cs="仿宋"/>
          <w:sz w:val="28"/>
          <w:szCs w:val="22"/>
        </w:rPr>
      </w:pPr>
      <w:r>
        <w:rPr>
          <w:rFonts w:hint="eastAsia" w:ascii="仿宋" w:hAnsi="仿宋" w:eastAsia="仿宋" w:cs="仿宋"/>
          <w:sz w:val="28"/>
          <w:szCs w:val="22"/>
        </w:rPr>
        <w:t>《分工方案》明确了5个方面25项重点任务，其中6项具体措施由住房和城乡建设部牵头或分工负责。</w:t>
      </w:r>
    </w:p>
    <w:p>
      <w:pPr>
        <w:snapToGrid w:val="0"/>
        <w:spacing w:line="510" w:lineRule="exact"/>
        <w:ind w:firstLine="560" w:firstLineChars="200"/>
        <w:rPr>
          <w:rFonts w:ascii="仿宋" w:hAnsi="仿宋" w:eastAsia="仿宋" w:cs="仿宋"/>
          <w:sz w:val="28"/>
          <w:szCs w:val="22"/>
        </w:rPr>
      </w:pPr>
      <w:r>
        <w:rPr>
          <w:rFonts w:hint="eastAsia" w:ascii="仿宋" w:hAnsi="仿宋" w:eastAsia="仿宋" w:cs="仿宋"/>
          <w:sz w:val="28"/>
          <w:szCs w:val="22"/>
        </w:rPr>
        <w:t>其中，在“把实施好宏观政策和深化‘放管服’改革结合起来，提高宏观政策实施的时效性和精准性”方面，由国家市场监督管理总局牵头、住房和城乡建设部与国家发展和改革委员会等国务院相关部门及各地按职责分工负责“2020年年底前开展涉企收费专项治理，对公用事业、港口物流等领域涉企收费开展检查，整治部分园区、楼宇、商业综合体等转供电主体违法加价等行为，坚决避免减税降费红利被截留”；由国家发展和改革委员会、人民银行、银保监会牵头，住房和城乡建设部与人力资源和社会保障部等国务院相关部门及各地区按职责分工负责“完善水电气、纳税、社保等领域信用评价标准和指标体系，充分运用各类信用信息平台，加强相关信用信息共享以及在信贷发放方面的应用，支持普惠金融更好发展”。</w:t>
      </w:r>
    </w:p>
    <w:p>
      <w:pPr>
        <w:snapToGrid w:val="0"/>
        <w:spacing w:line="510" w:lineRule="exact"/>
        <w:ind w:firstLine="560" w:firstLineChars="200"/>
        <w:rPr>
          <w:rFonts w:ascii="仿宋" w:hAnsi="仿宋" w:eastAsia="仿宋" w:cs="仿宋"/>
          <w:sz w:val="28"/>
          <w:szCs w:val="22"/>
        </w:rPr>
      </w:pPr>
      <w:r>
        <w:rPr>
          <w:rFonts w:hint="eastAsia" w:ascii="仿宋" w:hAnsi="仿宋" w:eastAsia="仿宋" w:cs="仿宋"/>
          <w:sz w:val="28"/>
          <w:szCs w:val="22"/>
        </w:rPr>
        <w:t>在“放要放出活力、放出创造力”方面，由住房和城乡建设部牵头负责“进一步压减中央层面、地方层面设立的工程建设项目审批事项和条件，精简规范工程建设项目全流程涉及的技术审查、中介服务事项，压缩审批时间”；住房和城乡建设部与司法部等国务院相关部门及各地区按职责分工负责“全面推行证明事项和涉企经营许可事项告知承诺制，明确实行告知承诺制的事项范围、适用对象、工作流程和监管措施等。对具备条件的建设工程企业资质审批实行告知承诺管理”。</w:t>
      </w:r>
    </w:p>
    <w:p>
      <w:pPr>
        <w:snapToGrid w:val="0"/>
        <w:spacing w:line="510" w:lineRule="exact"/>
        <w:ind w:firstLine="560" w:firstLineChars="200"/>
        <w:rPr>
          <w:rFonts w:ascii="仿宋" w:hAnsi="仿宋" w:eastAsia="仿宋" w:cs="仿宋"/>
          <w:sz w:val="28"/>
          <w:szCs w:val="22"/>
        </w:rPr>
      </w:pPr>
      <w:r>
        <w:rPr>
          <w:rFonts w:hint="eastAsia" w:ascii="仿宋" w:hAnsi="仿宋" w:eastAsia="仿宋" w:cs="仿宋"/>
          <w:sz w:val="28"/>
          <w:szCs w:val="22"/>
        </w:rPr>
        <w:t>在“管要管出公平、管出质量”方面，住房和城乡建设部、司法部等国务院相关部门及各地区按职责分工负责“督促地方城市管理部门规范执法行为，制定公布城管执法标准和要求，加大对随意执法等行为的查处力度，降低对市场主体正常生产经营活动的影响”。</w:t>
      </w:r>
    </w:p>
    <w:p>
      <w:pPr>
        <w:snapToGrid w:val="0"/>
        <w:spacing w:line="510" w:lineRule="exact"/>
        <w:ind w:firstLine="560" w:firstLineChars="200"/>
        <w:rPr>
          <w:rFonts w:ascii="仿宋" w:hAnsi="仿宋" w:eastAsia="仿宋" w:cs="仿宋"/>
          <w:sz w:val="28"/>
          <w:szCs w:val="22"/>
        </w:rPr>
      </w:pPr>
      <w:r>
        <w:rPr>
          <w:rFonts w:hint="eastAsia" w:ascii="仿宋" w:hAnsi="仿宋" w:eastAsia="仿宋" w:cs="仿宋"/>
          <w:sz w:val="28"/>
          <w:szCs w:val="22"/>
        </w:rPr>
        <w:t>在“服要服出便利、服出实惠”方面，住房和城乡建设部、国家发展和改革委员会等国务院相关部门及各地区按职责分工负责“优化水电气暖网等公用事业服务，清理报装过程中的附加审批要件和手续，加快实现报装、查询、缴费等业务全程网上办。优化外线施工办理流程，对涉及的工程规划许可、绿化许可、路政许可、占掘路许可、物料堆放许可等环节实行并联审批，探索实行接入工程告知承诺制”。</w:t>
      </w:r>
    </w:p>
    <w:p>
      <w:pPr>
        <w:snapToGrid w:val="0"/>
        <w:spacing w:line="510" w:lineRule="exact"/>
        <w:ind w:firstLine="560" w:firstLineChars="200"/>
        <w:rPr>
          <w:rFonts w:ascii="仿宋" w:hAnsi="仿宋" w:eastAsia="仿宋" w:cs="仿宋"/>
          <w:sz w:val="28"/>
          <w:szCs w:val="22"/>
        </w:rPr>
      </w:pPr>
      <w:r>
        <w:rPr>
          <w:rFonts w:hint="eastAsia" w:ascii="仿宋" w:hAnsi="仿宋" w:eastAsia="仿宋" w:cs="仿宋"/>
          <w:sz w:val="28"/>
          <w:szCs w:val="22"/>
        </w:rPr>
        <w:t>《分工方案》强调，各地区要完善深化“放管服”改革和优化营商环境工作机制，一体化推进相关领域改革，配齐配强工作力量，抓好改革任务落地。各部门要结合各自职责，加强协同配合，形成改革合力。国务院办公厅要发挥对深化“放管服”改革和优化营商环境工作的牵头抓总作用，强化统筹协调、业务指导和督促落实，确保改革取得实效。</w:t>
      </w:r>
    </w:p>
    <w:p>
      <w:pPr>
        <w:snapToGrid w:val="0"/>
        <w:spacing w:line="520" w:lineRule="exact"/>
        <w:ind w:firstLine="560" w:firstLineChars="200"/>
        <w:rPr>
          <w:rFonts w:ascii="仿宋" w:hAnsi="仿宋" w:eastAsia="仿宋" w:cs="仿宋"/>
          <w:sz w:val="28"/>
          <w:szCs w:val="22"/>
        </w:rPr>
      </w:pPr>
    </w:p>
    <w:p>
      <w:pPr>
        <w:snapToGrid w:val="0"/>
        <w:spacing w:line="520" w:lineRule="exact"/>
        <w:ind w:firstLine="560" w:firstLineChars="200"/>
        <w:rPr>
          <w:rFonts w:ascii="仿宋" w:hAnsi="仿宋" w:eastAsia="仿宋" w:cs="仿宋"/>
          <w:sz w:val="28"/>
          <w:szCs w:val="22"/>
        </w:rPr>
      </w:pPr>
    </w:p>
    <w:p>
      <w:pPr>
        <w:snapToGrid w:val="0"/>
        <w:spacing w:line="520" w:lineRule="exact"/>
        <w:ind w:firstLine="560" w:firstLineChars="200"/>
        <w:rPr>
          <w:rFonts w:ascii="仿宋" w:hAnsi="仿宋" w:eastAsia="仿宋" w:cs="仿宋"/>
          <w:sz w:val="28"/>
          <w:szCs w:val="22"/>
        </w:rPr>
      </w:pPr>
    </w:p>
    <w:p>
      <w:pPr>
        <w:snapToGrid w:val="0"/>
        <w:spacing w:line="520" w:lineRule="exact"/>
        <w:ind w:firstLine="560" w:firstLineChars="200"/>
        <w:rPr>
          <w:rFonts w:ascii="仿宋" w:hAnsi="仿宋" w:eastAsia="仿宋" w:cs="仿宋"/>
          <w:sz w:val="28"/>
          <w:szCs w:val="22"/>
        </w:rPr>
      </w:pPr>
    </w:p>
    <w:p>
      <w:pPr>
        <w:snapToGrid w:val="0"/>
        <w:spacing w:line="520" w:lineRule="exact"/>
        <w:ind w:firstLine="560" w:firstLineChars="200"/>
        <w:rPr>
          <w:rFonts w:ascii="仿宋" w:hAnsi="仿宋" w:eastAsia="仿宋" w:cs="仿宋"/>
          <w:sz w:val="28"/>
          <w:szCs w:val="22"/>
        </w:rPr>
      </w:pPr>
    </w:p>
    <w:p>
      <w:pPr>
        <w:snapToGrid w:val="0"/>
        <w:spacing w:line="520" w:lineRule="exact"/>
        <w:ind w:firstLine="560" w:firstLineChars="200"/>
        <w:rPr>
          <w:rFonts w:ascii="仿宋" w:hAnsi="仿宋" w:eastAsia="仿宋" w:cs="仿宋"/>
          <w:sz w:val="28"/>
          <w:szCs w:val="22"/>
        </w:rPr>
      </w:pPr>
    </w:p>
    <w:p>
      <w:pPr>
        <w:snapToGrid w:val="0"/>
        <w:spacing w:line="520" w:lineRule="exact"/>
        <w:ind w:firstLine="560" w:firstLineChars="200"/>
        <w:rPr>
          <w:rFonts w:ascii="仿宋" w:hAnsi="仿宋" w:eastAsia="仿宋" w:cs="仿宋"/>
          <w:sz w:val="28"/>
          <w:szCs w:val="22"/>
        </w:rPr>
      </w:pPr>
    </w:p>
    <w:p>
      <w:pPr>
        <w:snapToGrid w:val="0"/>
        <w:spacing w:line="520" w:lineRule="exact"/>
        <w:rPr>
          <w:rFonts w:ascii="仿宋" w:hAnsi="仿宋" w:eastAsia="仿宋" w:cs="仿宋"/>
          <w:sz w:val="28"/>
          <w:szCs w:val="22"/>
        </w:rPr>
      </w:pPr>
      <w:bookmarkStart w:id="0" w:name="_GoBack"/>
      <w:bookmarkEnd w:id="0"/>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mc:AlternateContent>
          <mc:Choice Requires="wps">
            <w:drawing>
              <wp:anchor distT="0" distB="0" distL="114300" distR="114300" simplePos="0" relativeHeight="278867968" behindDoc="0" locked="0" layoutInCell="1" allowOverlap="1">
                <wp:simplePos x="0" y="0"/>
                <wp:positionH relativeFrom="column">
                  <wp:posOffset>6985</wp:posOffset>
                </wp:positionH>
                <wp:positionV relativeFrom="paragraph">
                  <wp:posOffset>24130</wp:posOffset>
                </wp:positionV>
                <wp:extent cx="1316990" cy="303530"/>
                <wp:effectExtent l="13970" t="13970" r="21590" b="25400"/>
                <wp:wrapNone/>
                <wp:docPr id="12" name="文本框 5"/>
                <wp:cNvGraphicFramePr/>
                <a:graphic xmlns:a="http://schemas.openxmlformats.org/drawingml/2006/main">
                  <a:graphicData uri="http://schemas.microsoft.com/office/word/2010/wordprocessingShape">
                    <wps:wsp>
                      <wps:cNvSpPr txBox="1"/>
                      <wps:spPr>
                        <a:xfrm>
                          <a:off x="0" y="0"/>
                          <a:ext cx="1316990" cy="303530"/>
                        </a:xfrm>
                        <a:prstGeom prst="rect">
                          <a:avLst/>
                        </a:prstGeom>
                        <a:solidFill>
                          <a:srgbClr val="FFFFFF"/>
                        </a:solidFill>
                        <a:ln w="28575" cap="flat" cmpd="sng">
                          <a:pattFill prst="sphere">
                            <a:fgClr>
                              <a:srgbClr val="000000"/>
                            </a:fgClr>
                            <a:bgClr>
                              <a:srgbClr val="FFFFFF"/>
                            </a:bgClr>
                          </a:pattFill>
                          <a:prstDash val="solid"/>
                          <a:miter/>
                          <a:headEnd type="none" w="med" len="med"/>
                          <a:tailEnd type="none" w="med" len="med"/>
                        </a:ln>
                      </wps:spPr>
                      <wps:txbx>
                        <w:txbxContent>
                          <w:p>
                            <w:pPr>
                              <w:spacing w:line="300" w:lineRule="exact"/>
                              <w:jc w:val="center"/>
                              <w:rPr>
                                <w:rFonts w:ascii="楷体" w:hAnsi="楷体" w:eastAsia="楷体" w:cs="楷体"/>
                                <w:sz w:val="28"/>
                                <w:szCs w:val="28"/>
                              </w:rPr>
                            </w:pPr>
                            <w:r>
                              <w:rPr>
                                <w:rFonts w:hint="eastAsia" w:ascii="楷体" w:hAnsi="楷体" w:eastAsia="楷体" w:cs="楷体"/>
                                <w:sz w:val="28"/>
                                <w:szCs w:val="28"/>
                              </w:rPr>
                              <w:t>市局工作动态</w:t>
                            </w:r>
                          </w:p>
                        </w:txbxContent>
                      </wps:txbx>
                      <wps:bodyPr upright="1"/>
                    </wps:wsp>
                  </a:graphicData>
                </a:graphic>
              </wp:anchor>
            </w:drawing>
          </mc:Choice>
          <mc:Fallback>
            <w:pict>
              <v:shape id="文本框 5" o:spid="_x0000_s1026" o:spt="202" type="#_x0000_t202" style="position:absolute;left:0pt;margin-left:0.55pt;margin-top:1.9pt;height:23.9pt;width:103.7pt;z-index:278867968;mso-width-relative:page;mso-height-relative:page;" fillcolor="#FFFFFF" filled="t" stroked="t" coordsize="21600,21600" o:gfxdata="UEsDBAoAAAAAAIdO4kAAAAAAAAAAAAAAAAAEAAAAZHJzL1BLAwQUAAAACACHTuJALkFfMtMAAAAG&#10;AQAADwAAAGRycy9kb3ducmV2LnhtbE2OTWvDMBBE74X+B7GB3hrJKQ7BtRxCoYWcStJcclOsjWVq&#10;rRxJ+fr33Z7a4zDDm1cvb34QF4ypD6ShmCoQSG2wPXUadl/vzwsQKRuyZgiEGu6YYNk8PtSmsuFK&#10;G7xscycYQqkyGlzOYyVlah16k6ZhROLuGKI3mWPspI3mynA/yJlSc+lNT/zgzIhvDtvv7dlrWK/c&#10;Ju7LNe7svpMf98+TPfqT1k+TQr2CyHjLf2P41Wd1aNjpEM5kkxg4FzzU8ML+3M7UogRx0FAWc5BN&#10;Lf/rNz9QSwMEFAAAAAgAh07iQK/I6zcrAgAAgwQAAA4AAABkcnMvZTJvRG9jLnhtbK1UzY7TMBC+&#10;I/EOlu80aasuu1HTlaCUCwKkhQeY2k5iyX+y3SZ9AXgDTly481x9DsZutsvucuiBHNJx/Pmb+b4Z&#10;d3k7aEX2wgdpTU2nk5ISYZjl0rQ1/fpl8+qakhDBcFDWiJoeRKC3q5cvlr2rxMx2VnHhCZKYUPWu&#10;pl2MriqKwDqhIUysEwY3G+s1RFz6tuAeemTXqpiV5VXRW8+dt0yEgF/Xp006MvpLCG3TSCbWlu20&#10;MPHE6oWCiJJCJ12gq1xt0wgWPzVNEJGomqLSmN+YBONteherJVStB9dJNpYAl5TwRJMGaTDpmWoN&#10;EcjOy2dUWjJvg23ihFldnIRkR1DFtHzizV0HTmQtaHVwZ9PD/6NlH/efPZEcJ2FGiQGNHT/++H78&#10;+fv46xtZJH96FyqE3TkExuGNHRB7/z3gxyR7aLxOvyiI4D66ezi7K4ZIWDo0n17d3OAWw715OV/M&#10;s/3Fw2nnQ3wvrCYpqKnH7mVTYf8hRKwEofeQlCxYJflGKpUXvt2+VZ7sATu9yU8qEo88gilD+prO&#10;rhevF1gI4Pw2ODcYaoceBNPmhA5iTMRjIcF1wqdGQNW0mORZvjI/Y74zZPtP7KPaRkgSNqZM3Enk&#10;GkJ3EpPrT9xQaRmFz1EngL8znMSDw44ZvKk0CdOCU6IEXuwUZWQEqS5BYg3KoGGp3ae2pigO2wFp&#10;Uri1/IAjsHNeth22Jw9BhuNsZqfHe5SG/+91Jn3471j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5BXzLTAAAABgEAAA8AAAAAAAAAAQAgAAAAIgAAAGRycy9kb3ducmV2LnhtbFBLAQIUABQAAAAI&#10;AIdO4kCvyOs3KwIAAIMEAAAOAAAAAAAAAAEAIAAAACIBAABkcnMvZTJvRG9jLnhtbFBLBQYAAAAA&#10;BgAGAFkBAAC/BQAAAAA=&#10;">
                <v:fill on="t" focussize="0,0"/>
                <v:stroke r:id="rId5" weight="2.25pt" color="#000000" color2="#FFFFFF" joinstyle="miter" o:relid="rId5" filltype="pattern"/>
                <v:imagedata o:title=""/>
                <o:lock v:ext="edit" aspectratio="f"/>
                <v:textbox>
                  <w:txbxContent>
                    <w:p>
                      <w:pPr>
                        <w:spacing w:line="300" w:lineRule="exact"/>
                        <w:jc w:val="center"/>
                        <w:rPr>
                          <w:rFonts w:ascii="楷体" w:hAnsi="楷体" w:eastAsia="楷体" w:cs="楷体"/>
                          <w:sz w:val="28"/>
                          <w:szCs w:val="28"/>
                        </w:rPr>
                      </w:pPr>
                      <w:r>
                        <w:rPr>
                          <w:rFonts w:hint="eastAsia" w:ascii="楷体" w:hAnsi="楷体" w:eastAsia="楷体" w:cs="楷体"/>
                          <w:sz w:val="28"/>
                          <w:szCs w:val="28"/>
                        </w:rPr>
                        <w:t>市局工作动态</w:t>
                      </w:r>
                    </w:p>
                  </w:txbxContent>
                </v:textbox>
              </v:shape>
            </w:pict>
          </mc:Fallback>
        </mc:AlternateContent>
      </w:r>
    </w:p>
    <w:p>
      <w:pPr>
        <w:snapToGrid w:val="0"/>
        <w:spacing w:line="520" w:lineRule="exact"/>
        <w:ind w:firstLine="560" w:firstLineChars="200"/>
        <w:rPr>
          <w:rFonts w:ascii="仿宋" w:hAnsi="仿宋" w:eastAsia="仿宋" w:cs="仿宋"/>
          <w:sz w:val="28"/>
          <w:szCs w:val="22"/>
        </w:rPr>
      </w:pPr>
    </w:p>
    <w:p>
      <w:pPr>
        <w:snapToGrid w:val="0"/>
        <w:spacing w:line="540" w:lineRule="atLeas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市住房和城乡建设局行政执法人员</w:t>
      </w:r>
    </w:p>
    <w:p>
      <w:pPr>
        <w:snapToGrid w:val="0"/>
        <w:spacing w:line="540" w:lineRule="atLeas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组织旁听庭审活动</w:t>
      </w:r>
    </w:p>
    <w:p>
      <w:pPr>
        <w:snapToGrid w:val="0"/>
        <w:spacing w:line="540" w:lineRule="atLeast"/>
        <w:ind w:firstLine="560" w:firstLineChars="200"/>
        <w:rPr>
          <w:rFonts w:ascii="仿宋" w:hAnsi="仿宋" w:eastAsia="仿宋" w:cs="仿宋"/>
          <w:sz w:val="28"/>
          <w:szCs w:val="22"/>
        </w:rPr>
      </w:pPr>
      <w:r>
        <w:rPr>
          <w:rFonts w:hint="eastAsia" w:ascii="仿宋" w:hAnsi="仿宋" w:eastAsia="仿宋" w:cs="仿宋"/>
          <w:sz w:val="28"/>
          <w:szCs w:val="22"/>
        </w:rPr>
        <w:t xml:space="preserve"> </w:t>
      </w:r>
    </w:p>
    <w:p>
      <w:pPr>
        <w:snapToGrid w:val="0"/>
        <w:spacing w:line="540" w:lineRule="atLeast"/>
        <w:ind w:firstLine="560" w:firstLineChars="200"/>
        <w:rPr>
          <w:rFonts w:ascii="仿宋" w:hAnsi="仿宋" w:eastAsia="仿宋" w:cs="仿宋"/>
          <w:sz w:val="28"/>
          <w:szCs w:val="22"/>
        </w:rPr>
      </w:pPr>
      <w:r>
        <w:rPr>
          <w:rFonts w:hint="eastAsia" w:ascii="仿宋" w:hAnsi="仿宋" w:eastAsia="仿宋" w:cs="仿宋"/>
          <w:sz w:val="28"/>
          <w:szCs w:val="22"/>
        </w:rPr>
        <w:t>为深入开展日常普法宣传和以案释法工作，按照市法治政府建设领导小组办公室通知要求，11月24日下午，市住建局组织政策法规科和监察大队行政执法人员旁听川汇区人民法院公开审理的行政诉讼案件。</w:t>
      </w:r>
    </w:p>
    <w:p>
      <w:pPr>
        <w:snapToGrid w:val="0"/>
        <w:spacing w:line="540" w:lineRule="atLeast"/>
        <w:ind w:firstLine="560" w:firstLineChars="200"/>
        <w:rPr>
          <w:rFonts w:ascii="仿宋" w:hAnsi="仿宋" w:eastAsia="仿宋" w:cs="仿宋"/>
          <w:sz w:val="28"/>
          <w:szCs w:val="22"/>
        </w:rPr>
      </w:pPr>
      <w:r>
        <w:rPr>
          <w:rFonts w:hint="eastAsia" w:ascii="仿宋" w:hAnsi="仿宋" w:eastAsia="仿宋" w:cs="仿宋"/>
          <w:sz w:val="28"/>
          <w:szCs w:val="22"/>
        </w:rPr>
        <w:t>庭审前，市司法局副局长郑启新对此次庭审旁听工作的意义和重点进行了强调。庭审后，市中级人民法院行政庭庭长任成飞法官对庭审过程进行了精彩点评，并提醒行政执法人员在案件办理过程中要注重保障当事人的陈述申辩权利和行政执法程序。</w:t>
      </w:r>
    </w:p>
    <w:p>
      <w:pPr>
        <w:snapToGrid w:val="0"/>
        <w:spacing w:line="540" w:lineRule="atLeast"/>
        <w:ind w:firstLine="560" w:firstLineChars="200"/>
        <w:rPr>
          <w:rFonts w:ascii="仿宋" w:hAnsi="仿宋" w:eastAsia="仿宋" w:cs="仿宋"/>
          <w:sz w:val="28"/>
          <w:szCs w:val="22"/>
        </w:rPr>
      </w:pPr>
      <w:r>
        <w:rPr>
          <w:rFonts w:hint="eastAsia" w:ascii="仿宋" w:hAnsi="仿宋" w:eastAsia="仿宋" w:cs="仿宋"/>
          <w:sz w:val="28"/>
          <w:szCs w:val="22"/>
        </w:rPr>
        <w:t>通过此次旁听活动，旁听人员感触颇深，纷纷表示在这次的旁听活动中，一是观摩了一场生动直观的“普法宣传课”；二是促使我们进一步增强程序思维、证据思维和法治思维，努力保障行政相对人的合法权益；三是在日常执法活动中加强对行政相对人的法律宣传和行政文书的说理性，确保行政执法的规范性和严谨性。</w:t>
      </w:r>
    </w:p>
    <w:p>
      <w:pPr>
        <w:snapToGrid w:val="0"/>
        <w:spacing w:line="540" w:lineRule="atLeast"/>
        <w:ind w:firstLine="560" w:firstLineChars="200"/>
        <w:rPr>
          <w:rFonts w:ascii="仿宋" w:hAnsi="仿宋" w:eastAsia="仿宋" w:cs="仿宋"/>
          <w:sz w:val="28"/>
          <w:szCs w:val="22"/>
        </w:rPr>
      </w:pPr>
    </w:p>
    <w:p>
      <w:pPr>
        <w:snapToGrid w:val="0"/>
        <w:spacing w:line="54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党组书记 局长张继宏对市政基础设施工程</w:t>
      </w:r>
    </w:p>
    <w:p>
      <w:pPr>
        <w:snapToGrid w:val="0"/>
        <w:spacing w:line="54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在建各项目进行检查调研</w:t>
      </w:r>
    </w:p>
    <w:p>
      <w:pPr>
        <w:snapToGrid w:val="0"/>
        <w:spacing w:line="540" w:lineRule="exact"/>
        <w:ind w:firstLine="560" w:firstLineChars="200"/>
        <w:rPr>
          <w:rFonts w:ascii="仿宋" w:hAnsi="仿宋" w:eastAsia="仿宋" w:cs="仿宋"/>
          <w:sz w:val="28"/>
          <w:szCs w:val="22"/>
        </w:rPr>
      </w:pPr>
    </w:p>
    <w:p>
      <w:pPr>
        <w:snapToGrid w:val="0"/>
        <w:spacing w:line="540" w:lineRule="exact"/>
        <w:ind w:firstLine="560" w:firstLineChars="200"/>
        <w:rPr>
          <w:rFonts w:ascii="仿宋" w:hAnsi="仿宋" w:eastAsia="仿宋" w:cs="仿宋"/>
          <w:sz w:val="28"/>
          <w:szCs w:val="22"/>
        </w:rPr>
      </w:pPr>
      <w:r>
        <w:rPr>
          <w:rFonts w:hint="eastAsia" w:ascii="仿宋" w:hAnsi="仿宋" w:eastAsia="仿宋" w:cs="仿宋"/>
          <w:sz w:val="28"/>
          <w:szCs w:val="22"/>
        </w:rPr>
        <w:t>11月7日上午，局党组书记 局长张继宏带领相关人员，分别到“周口大道（建设路—周口北高速口）提升改造（一期）工程、周口市港城大道与开元大道连接工程、周口市中原路跨沙颍河桥梁及道路打通工程、周口市七一路（龙源路—汉阳路）改造工程等市政基础工程建设项目工地”进行工作检查并进行现场指导性调研。</w:t>
      </w:r>
    </w:p>
    <w:p>
      <w:pPr>
        <w:snapToGrid w:val="0"/>
        <w:spacing w:line="540" w:lineRule="exact"/>
        <w:ind w:firstLine="560" w:firstLineChars="200"/>
        <w:rPr>
          <w:rFonts w:ascii="仿宋" w:hAnsi="仿宋" w:eastAsia="仿宋" w:cs="仿宋"/>
          <w:sz w:val="28"/>
          <w:szCs w:val="22"/>
        </w:rPr>
      </w:pPr>
      <w:r>
        <w:rPr>
          <w:rFonts w:hint="eastAsia" w:ascii="仿宋" w:hAnsi="仿宋" w:eastAsia="仿宋" w:cs="仿宋"/>
          <w:sz w:val="28"/>
          <w:szCs w:val="22"/>
        </w:rPr>
        <w:t>张继宏每到一处都认真听取项目管理人员和参与建设项目人员提出的不同问题，向项目参建单位介绍市委、市政府关于加快市政基础设施工程建设的总体要求和工作部署，从技术、安全、质量、工期、社会效应等方面就项目存在的问题进行了深入细致的解答。</w:t>
      </w:r>
    </w:p>
    <w:p>
      <w:pPr>
        <w:snapToGrid w:val="0"/>
        <w:spacing w:line="540" w:lineRule="exact"/>
        <w:ind w:firstLine="560" w:firstLineChars="200"/>
        <w:rPr>
          <w:rFonts w:ascii="仿宋" w:hAnsi="仿宋" w:eastAsia="仿宋" w:cs="仿宋"/>
          <w:sz w:val="28"/>
          <w:szCs w:val="22"/>
        </w:rPr>
      </w:pPr>
      <w:r>
        <w:rPr>
          <w:rFonts w:hint="eastAsia" w:ascii="仿宋" w:hAnsi="仿宋" w:eastAsia="仿宋" w:cs="仿宋"/>
          <w:sz w:val="28"/>
          <w:szCs w:val="22"/>
        </w:rPr>
        <w:t>张继宏强调，在材料使用上要突出城市发展的亮点和使用的耐久性，做到既美观、大方，又符合打造海绵城市的发展总体要求，还要符合我市在加强城市建设、城市创建、扬尘治理等环节的基本要求，从建设中不断夯实城市发展理念，有效拓展海绵城市和信息化城市建设，打造一支政治合格、高效廉洁、业务精湛、敢于担当的专业性、技能性专业人才队伍建设。</w:t>
      </w:r>
    </w:p>
    <w:p>
      <w:pPr>
        <w:snapToGrid w:val="0"/>
        <w:spacing w:line="540" w:lineRule="exact"/>
        <w:ind w:firstLine="560" w:firstLineChars="200"/>
        <w:rPr>
          <w:rFonts w:ascii="仿宋" w:hAnsi="仿宋" w:eastAsia="仿宋" w:cs="仿宋"/>
          <w:sz w:val="28"/>
          <w:szCs w:val="22"/>
        </w:rPr>
      </w:pPr>
    </w:p>
    <w:p>
      <w:pPr>
        <w:snapToGrid w:val="0"/>
        <w:spacing w:line="540" w:lineRule="exact"/>
        <w:jc w:val="center"/>
        <w:rPr>
          <w:rFonts w:ascii="方正小标宋简体" w:hAnsi="方正小标宋简体" w:eastAsia="方正小标宋简体" w:cs="方正小标宋简体"/>
          <w:b/>
          <w:bCs/>
          <w:sz w:val="32"/>
          <w:szCs w:val="32"/>
        </w:rPr>
      </w:pPr>
      <w:r>
        <w:rPr>
          <w:rFonts w:ascii="方正小标宋简体" w:hAnsi="方正小标宋简体" w:eastAsia="方正小标宋简体" w:cs="方正小标宋简体"/>
          <w:b/>
          <w:bCs/>
          <w:sz w:val="32"/>
          <w:szCs w:val="32"/>
        </w:rPr>
        <w:t>我市19个省级传统村落实现挂牌保护</w:t>
      </w:r>
    </w:p>
    <w:p>
      <w:pPr>
        <w:snapToGrid w:val="0"/>
        <w:spacing w:line="540" w:lineRule="exact"/>
        <w:ind w:firstLine="560" w:firstLineChars="200"/>
        <w:rPr>
          <w:rFonts w:ascii="仿宋" w:hAnsi="仿宋" w:eastAsia="仿宋" w:cs="仿宋"/>
          <w:sz w:val="28"/>
          <w:szCs w:val="22"/>
        </w:rPr>
      </w:pPr>
    </w:p>
    <w:p>
      <w:pPr>
        <w:snapToGrid w:val="0"/>
        <w:spacing w:line="540" w:lineRule="exact"/>
        <w:ind w:firstLine="560" w:firstLineChars="200"/>
        <w:rPr>
          <w:rFonts w:ascii="仿宋" w:hAnsi="仿宋" w:eastAsia="仿宋" w:cs="仿宋"/>
          <w:sz w:val="28"/>
          <w:szCs w:val="22"/>
        </w:rPr>
      </w:pPr>
      <w:r>
        <w:rPr>
          <w:rFonts w:hint="eastAsia" w:ascii="仿宋" w:hAnsi="仿宋" w:eastAsia="仿宋" w:cs="仿宋"/>
          <w:sz w:val="28"/>
          <w:szCs w:val="22"/>
        </w:rPr>
        <w:t>按照《住房和城乡建设部办公厅关于实施中国传统村落挂牌保护工作的通知》（建办村函〔2020〕227号）和《河南省传统村落保护发展三年行动实施方案（2020—2022年）》（豫建村〔2020〕36号）要求，市住房城乡建设局下发《关于开展传统村落挂牌保护工作的通知》，明确我市19个河南省传统村落挂牌保护的有关事项，并为每个河南省传统村落制作了保护标志牌。目前，已全部发放到有关县（市、区）并全部挂牌到位，我市19个省级传统村落（从楼村、支亭村、西关村、书院村、大寺村、三所楼村、金村、邓城村、中心街村、申段庄村、谢堂村、陶母岗村、思都岗村、蔡庄村、袁寨村、北门村、尹坡村、郭庄村、李寨村）实现了挂牌保护。</w:t>
      </w:r>
    </w:p>
    <w:p>
      <w:pPr>
        <w:snapToGrid w:val="0"/>
        <w:spacing w:line="540" w:lineRule="exact"/>
        <w:ind w:firstLine="560" w:firstLineChars="200"/>
        <w:rPr>
          <w:rFonts w:hint="eastAsia" w:ascii="仿宋" w:hAnsi="仿宋" w:eastAsia="仿宋" w:cs="仿宋"/>
          <w:sz w:val="28"/>
          <w:szCs w:val="22"/>
        </w:rPr>
      </w:pPr>
    </w:p>
    <w:p>
      <w:pPr>
        <w:snapToGrid w:val="0"/>
        <w:spacing w:line="54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市住房和城乡建设局召开</w:t>
      </w:r>
    </w:p>
    <w:p>
      <w:pPr>
        <w:snapToGrid w:val="0"/>
        <w:spacing w:line="54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全市农村危房改造动态管理工作座谈会</w:t>
      </w:r>
    </w:p>
    <w:p>
      <w:pPr>
        <w:snapToGrid w:val="0"/>
        <w:spacing w:line="540" w:lineRule="exact"/>
        <w:ind w:firstLine="560" w:firstLineChars="200"/>
        <w:rPr>
          <w:rFonts w:ascii="仿宋" w:hAnsi="仿宋" w:eastAsia="仿宋" w:cs="仿宋"/>
          <w:sz w:val="28"/>
          <w:szCs w:val="22"/>
        </w:rPr>
      </w:pP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10月22日上午，市住房城乡建设局召开全市农村危房改造动态管理工作座谈会，各县（市、区）负责危房改造业务负责人及有关业务人员参会。</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会上传达学习了全省农村危房改造动态管理工作座谈会会议精神，分析交流并研判了工作中存在的问题，并安排部署了四个方面的工作：一是扎实做好关于受洪涝地质灾害影响贫困农户住房安全保障工作，要求各县（市、区）主管部门要积极开展贫困农户住房安全保障工作，如期完成灾情上报录入等任务，并落实月报、旬报制度。二是继续深化问题整改，对建新未拆旧问题，要以十分务实的工作作风，开展“回头看”，加大检查、抽查力度，确保反馈问题真正全部彻底整改到位。三是扎实做好农村危房改造脱贫攻坚三年行动农户档案信息检索系统录入管理，认真推进信息录入不完善、下达任务录入未完成、实际完成数与录入数不对照、农户电子档案录入不完整、数据录入不精准等问题的解决。四是尽快建立完善农村危房改造动态监测管理机制， 把动态监测管理作为经常性的重要工作摆在重要位置，紧密结合工作实际，切实把组织领导机构建强、把部门和各级责任压实，把方案措施定细，把各种机制健全，切实形成一套符合本地实际，针对性、操作性强的常态化运行措施机制。凡新增改造对象，都要及时建立纸质档案，并及时录入“农户档案信息检索系统”。</w:t>
      </w:r>
    </w:p>
    <w:p>
      <w:pPr>
        <w:snapToGrid w:val="0"/>
        <w:spacing w:line="520" w:lineRule="exact"/>
        <w:ind w:firstLine="560" w:firstLineChars="200"/>
        <w:rPr>
          <w:rFonts w:ascii="仿宋" w:hAnsi="仿宋" w:eastAsia="仿宋" w:cs="仿宋"/>
          <w:sz w:val="28"/>
          <w:szCs w:val="22"/>
        </w:rPr>
      </w:pPr>
    </w:p>
    <w:p>
      <w:pPr>
        <w:snapToGrid w:val="0"/>
        <w:spacing w:line="520" w:lineRule="exact"/>
        <w:ind w:firstLine="560" w:firstLineChars="200"/>
        <w:rPr>
          <w:rFonts w:ascii="仿宋" w:hAnsi="仿宋" w:eastAsia="仿宋" w:cs="仿宋"/>
          <w:sz w:val="28"/>
          <w:szCs w:val="22"/>
        </w:rPr>
      </w:pPr>
    </w:p>
    <w:p>
      <w:pPr>
        <w:snapToGrid w:val="0"/>
        <w:spacing w:line="520" w:lineRule="exact"/>
        <w:ind w:firstLine="560" w:firstLineChars="200"/>
        <w:rPr>
          <w:rFonts w:ascii="仿宋" w:hAnsi="仿宋" w:eastAsia="仿宋" w:cs="仿宋"/>
          <w:sz w:val="28"/>
          <w:szCs w:val="22"/>
        </w:rPr>
      </w:pPr>
    </w:p>
    <w:p>
      <w:pPr>
        <w:snapToGrid w:val="0"/>
        <w:spacing w:line="520" w:lineRule="exact"/>
        <w:ind w:firstLine="560" w:firstLineChars="200"/>
        <w:rPr>
          <w:rFonts w:hint="eastAsia" w:ascii="仿宋" w:hAnsi="仿宋" w:eastAsia="仿宋" w:cs="仿宋"/>
          <w:sz w:val="28"/>
          <w:szCs w:val="22"/>
        </w:rPr>
      </w:pPr>
    </w:p>
    <w:p>
      <w:pPr>
        <w:snapToGrid w:val="0"/>
        <w:spacing w:line="54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市住房和城乡建设局</w:t>
      </w:r>
    </w:p>
    <w:p>
      <w:pPr>
        <w:snapToGrid w:val="0"/>
        <w:spacing w:line="54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强力推进住宅小区用电设施移交工作</w:t>
      </w:r>
    </w:p>
    <w:p>
      <w:pPr>
        <w:snapToGrid w:val="0"/>
        <w:spacing w:line="540" w:lineRule="exact"/>
        <w:ind w:firstLine="560" w:firstLineChars="200"/>
        <w:rPr>
          <w:rFonts w:ascii="仿宋" w:hAnsi="仿宋" w:eastAsia="仿宋" w:cs="仿宋"/>
          <w:sz w:val="28"/>
          <w:szCs w:val="22"/>
        </w:rPr>
      </w:pP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为积极解决居民小区用电设施未移交给供电部门引起的矛盾纠纷问题，2020年以来，根据市委刘书记指示，市住建局负责牵头推进，市供电公司和各区（管委会）积极配合，扎实开展住宅小区用电设施移交工作。一是强化组织领导。市住建局成立了由局长张继宏任组长、住建局和供电公司分管领导任副组长，相关业务科室负责人为成员的工作专班，切实加强对用电设施移交工作的领导。工作专班按照“分类指导、一盘一策”的原则，从方案制定、资金筹措、措施落实、完成时限、责任追究等方面明确了相应规定，确保此项工作有条不紊开展。二是抓好“三个”结合。与老旧小区改造相结合，把电设施未列入移交的10个小区列入老旧小区改造计划，与当前正在进行的老旧小区改造结合起来，同步规划、同步施工，一并验收。与问题楼盘化解相结合，有20小区属于问题楼盘项目，交由项目所在地政府（管委会）纳入问题楼盘化解方案一起解决。与小区实际情况相结合，充分尊重小区群众意愿，广泛发扬民主，发动群众、依靠群众，群策群力解决。三是加强督导推进。工作专班每周召开一次例会，通报工作进展情况，对重视不够、进展缓慢、行动不力的开发企业，采取约谈、停办项目手续、记入失信名录等行政手段进行处罚，倒逼企业加快用电设施移交。</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目前，全市中心城区118个用电设施未移交的小区，已经完全移交的47个，正在验收的8个，正在施工的8个，已提交申请的20个。下一步，市住建局将进一步加大工作力度，加快工作进度，尽快圆满完成剩余小区用电设施移交工作。</w:t>
      </w:r>
    </w:p>
    <w:p>
      <w:pPr>
        <w:snapToGrid w:val="0"/>
        <w:spacing w:line="520" w:lineRule="exact"/>
        <w:ind w:firstLine="560" w:firstLineChars="200"/>
        <w:rPr>
          <w:rFonts w:ascii="仿宋" w:hAnsi="仿宋" w:eastAsia="仿宋" w:cs="仿宋"/>
          <w:sz w:val="28"/>
          <w:szCs w:val="22"/>
        </w:rPr>
      </w:pPr>
    </w:p>
    <w:p>
      <w:pPr>
        <w:snapToGrid w:val="0"/>
        <w:spacing w:line="540" w:lineRule="exact"/>
        <w:jc w:val="center"/>
        <w:rPr>
          <w:rFonts w:ascii="仿宋" w:hAnsi="仿宋" w:eastAsia="仿宋" w:cs="仿宋"/>
          <w:sz w:val="28"/>
          <w:szCs w:val="22"/>
        </w:rPr>
      </w:pPr>
      <w:r>
        <w:rPr>
          <w:rFonts w:hint="eastAsia" w:ascii="方正小标宋简体" w:hAnsi="方正小标宋简体" w:eastAsia="方正小标宋简体" w:cs="方正小标宋简体"/>
          <w:b/>
          <w:bCs/>
          <w:sz w:val="32"/>
          <w:szCs w:val="32"/>
        </w:rPr>
        <w:t>我市全部完成城镇小区配套幼儿园治理任务</w:t>
      </w:r>
    </w:p>
    <w:p>
      <w:pPr>
        <w:snapToGrid w:val="0"/>
        <w:spacing w:line="520" w:lineRule="exact"/>
        <w:ind w:firstLine="560" w:firstLineChars="200"/>
        <w:rPr>
          <w:rFonts w:ascii="仿宋" w:hAnsi="仿宋" w:eastAsia="仿宋" w:cs="仿宋"/>
          <w:sz w:val="28"/>
          <w:szCs w:val="22"/>
        </w:rPr>
      </w:pP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城镇小区配套幼儿园是城镇公共服务设施建设的重要内容，开展配套幼儿园治理工作是落实党中央、国务院工作部署的民生工程，是今年必须完成的“交账任务”。自2020年4月份以来，我市按照省政府工作要求，按照“政府主导、部门联动、属地负责、分类施策、长效治理”的原则，积极开展配套幼儿园治理工作，在省工作专班的大力支持和精心指导下，通过市工作专班和各县（市、区）的共同努力，治理工作成效明显，有效缓解了我市“入园难”“入园贵”等问题。主要做法如下：</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一是领导重视，高位推动。市政府高度重视配套幼儿园治理工作，成立了以常务副市长任组长的工作领导小组，制定了实施方案，组成了工作专班，建立了周例会、周通报机制，实行了领导包园制度，确保了治理工作扎实有序开展。</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二是因地制宜，精准施策。指导各县（市、区）对出租、出售、闲置、未交付使用的配套幼儿园等情况详细摸排，进一步细化治理台账，坚持“一事一议”“一园一案”原则，逐个明确解决方案，逐项销号，精准化解，顺利推进。</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三是强化措施，严格督导。为加快推进治理工作，市工作专班开展多次专项督导，督促县（市、区）按照“积极稳妥、先易后难”的原则，加快治理进度。对工作推进较慢的下发督办通知，要求强化措施，倒排工期。同时，各部门通力配合，齐抓共管，从行政审批方面入手，超常规、出硬招、出实招，倒逼开发建设单位完成配套幼儿园移交工作。</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四是出台政策，注重长效。为建立健全配套幼儿园建设管理机制，市政府出台了《周口市城镇小区配套幼儿园建设管理办法》，规定用地规模在50亩及以上的住宅小区，必须配建配套幼儿园，验收合格后无偿移交给政府，确保了我市配套幼儿园治理工作不欠新账。</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截至11月24日，全市纳入国家台账需要治理的92所配套幼儿园，已全部完成治理任务，完成率100%。其中，办成公办园34所、增加学位数9105个；委托办成普惠性民办园58所、增加学位数14127个。</w:t>
      </w:r>
    </w:p>
    <w:p>
      <w:pPr>
        <w:snapToGrid w:val="0"/>
        <w:spacing w:line="520" w:lineRule="exact"/>
        <w:ind w:firstLine="560" w:firstLineChars="200"/>
        <w:rPr>
          <w:rFonts w:ascii="仿宋" w:hAnsi="仿宋" w:eastAsia="仿宋" w:cs="仿宋"/>
          <w:sz w:val="28"/>
          <w:szCs w:val="22"/>
        </w:rPr>
      </w:pPr>
    </w:p>
    <w:p>
      <w:pPr>
        <w:snapToGrid w:val="0"/>
        <w:spacing w:line="540" w:lineRule="exact"/>
        <w:jc w:val="center"/>
        <w:rPr>
          <w:rFonts w:ascii="仿宋" w:hAnsi="仿宋" w:eastAsia="仿宋" w:cs="仿宋"/>
          <w:sz w:val="28"/>
          <w:szCs w:val="22"/>
        </w:rPr>
      </w:pPr>
      <w:r>
        <w:rPr>
          <w:rFonts w:hint="eastAsia" w:ascii="方正小标宋简体" w:hAnsi="方正小标宋简体" w:eastAsia="方正小标宋简体" w:cs="方正小标宋简体"/>
          <w:b/>
          <w:bCs/>
          <w:sz w:val="32"/>
          <w:szCs w:val="32"/>
        </w:rPr>
        <w:t>我市召开老旧小区改造工作推进会</w:t>
      </w:r>
    </w:p>
    <w:p>
      <w:pPr>
        <w:snapToGrid w:val="0"/>
        <w:spacing w:line="520" w:lineRule="exact"/>
        <w:ind w:firstLine="560" w:firstLineChars="200"/>
        <w:rPr>
          <w:rFonts w:ascii="仿宋" w:hAnsi="仿宋" w:eastAsia="仿宋" w:cs="仿宋"/>
          <w:sz w:val="28"/>
          <w:szCs w:val="22"/>
        </w:rPr>
      </w:pP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为加快推进我市老旧小区改造工作，11月25日,市政府组织召开了全市老旧小区改造工作推进会，市住建、发改、财政等部门负责同志，各县（市、区）政府分管负责同志、住建部门主要负责同志参加了会议。市政府副市长王宏武出席会议并讲话。</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会议分两个阶段进行：</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第一阶段：现场观摩了川汇区电厂南家属院、邮政小区、建行家属院等3个不同类型的老旧小区改造项目，川汇区从小区改造内容及标准、管线整治、社区治理、推进措施、长效管理机制的建立等方面，为各县（市、区）老旧小区改造工作提供了先进经验和成功做法。通过现场观摩和交流，各县（市、区）表示很有收获，回去后认真查找差距，结合实际，学以致用，加大力度，提高标准，完善内容，加快推进老旧小区改造工作，确保高质量按时完成2020年改造目标任务。</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第二阶段：现场观摩结束后，在市政府常务会议室召开了全市老旧小区改造工作推进会，市政府副市长王宏武出席会议并讲话，市政府副秘书长徐钊主持会议。</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市住建局张继宏局长通报了各县（市、区）老旧小区改造工作进展情况，并对下一步工作进行了安排部署。会议听取了川汇区和鹿邑县老旧小区改造工作经验介绍，其他县（市、区）进行了工作开展情况汇报。</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王宏武副市长强调，各县（市、区）要正确认识目前形势，压实责任，距省定目标时间节点只有35天，时间紧，任务重，要加大工作力度，不打折扣完成省定目标任务。市政府下一步将采取两项措施：一是将老旧小区改造工作纳入各（县、区）政府绩效考评。二是市政府督查室将老旧小区改造工作列入挂牌督查事项，每周进展情况报送市委市政府领导，对工作进展缓慢的启动约谈问责机制。</w:t>
      </w:r>
    </w:p>
    <w:p>
      <w:pPr>
        <w:snapToGrid w:val="0"/>
        <w:spacing w:line="520" w:lineRule="exact"/>
        <w:ind w:firstLine="560" w:firstLineChars="200"/>
        <w:rPr>
          <w:rFonts w:ascii="仿宋" w:hAnsi="仿宋" w:eastAsia="仿宋" w:cs="仿宋"/>
          <w:sz w:val="28"/>
          <w:szCs w:val="22"/>
        </w:rPr>
      </w:pPr>
      <w:r>
        <w:rPr>
          <w:rFonts w:hint="eastAsia" w:ascii="仿宋" w:hAnsi="仿宋" w:eastAsia="仿宋" w:cs="仿宋"/>
          <w:sz w:val="28"/>
          <w:szCs w:val="22"/>
        </w:rPr>
        <w:t>王宏武副市长要求，一是要抢进度。各（县、区）要认真研究分析问题症结，落实责任，有针对性的解决问题，按照先易后难，围绕省定50%的目标任务进行工作。二是要保质量。各县（市、区）要按照省政府、市政府规定的老旧小区改造内容及标准抓好落实，注重小区配套基础设施的改造，进一步提升改造标准，同时施工中要规范施工，保质保量，使老旧小区居住环境得到明显改善。三是要赢民心。老旧小区改造目的是为人民群众提供优质服务，增加养老设施、便民超市等配套设施，让百姓更有获得感、幸福感、安全感，让小区更加舒适、宜居。通过实施老旧小区改造，进一步密切党群关系、干群关系，改造要以人为本，赢得民心。</w:t>
      </w:r>
    </w:p>
    <w:p>
      <w:pPr>
        <w:snapToGrid w:val="0"/>
        <w:spacing w:line="520" w:lineRule="exact"/>
        <w:ind w:firstLine="560" w:firstLineChars="200"/>
        <w:rPr>
          <w:rFonts w:ascii="仿宋" w:hAnsi="仿宋" w:eastAsia="仿宋" w:cs="仿宋"/>
          <w:sz w:val="28"/>
          <w:szCs w:val="22"/>
        </w:rPr>
      </w:pPr>
    </w:p>
    <w:p>
      <w:pPr>
        <w:snapToGrid w:val="0"/>
        <w:spacing w:line="520" w:lineRule="exact"/>
        <w:ind w:firstLine="560" w:firstLineChars="200"/>
        <w:rPr>
          <w:rFonts w:ascii="仿宋" w:hAnsi="仿宋" w:eastAsia="仿宋" w:cs="仿宋"/>
          <w:sz w:val="28"/>
          <w:szCs w:val="22"/>
        </w:rPr>
      </w:pPr>
    </w:p>
    <w:p>
      <w:pPr>
        <w:snapToGrid w:val="0"/>
        <w:spacing w:line="520" w:lineRule="exact"/>
        <w:ind w:firstLine="560" w:firstLineChars="200"/>
        <w:rPr>
          <w:rFonts w:ascii="仿宋" w:hAnsi="仿宋" w:eastAsia="仿宋" w:cs="仿宋"/>
          <w:sz w:val="28"/>
          <w:szCs w:val="22"/>
        </w:rPr>
      </w:pPr>
    </w:p>
    <w:p>
      <w:pPr>
        <w:snapToGrid w:val="0"/>
        <w:spacing w:line="520" w:lineRule="exact"/>
        <w:ind w:firstLine="560" w:firstLineChars="200"/>
        <w:rPr>
          <w:rFonts w:ascii="仿宋" w:hAnsi="仿宋" w:eastAsia="仿宋" w:cs="仿宋"/>
          <w:sz w:val="28"/>
          <w:szCs w:val="22"/>
        </w:rPr>
      </w:pPr>
    </w:p>
    <w:p>
      <w:pPr>
        <w:snapToGrid w:val="0"/>
        <w:spacing w:line="520" w:lineRule="exact"/>
        <w:ind w:firstLine="560" w:firstLineChars="200"/>
        <w:rPr>
          <w:rFonts w:ascii="仿宋" w:hAnsi="仿宋" w:eastAsia="仿宋" w:cs="仿宋"/>
          <w:sz w:val="28"/>
          <w:szCs w:val="22"/>
        </w:rPr>
      </w:pPr>
    </w:p>
    <w:p>
      <w:pPr>
        <w:snapToGrid w:val="0"/>
        <w:spacing w:line="520" w:lineRule="exact"/>
        <w:ind w:firstLine="560" w:firstLineChars="200"/>
        <w:rPr>
          <w:rFonts w:hint="eastAsia" w:ascii="仿宋" w:hAnsi="仿宋" w:eastAsia="仿宋" w:cs="仿宋"/>
          <w:sz w:val="28"/>
          <w:szCs w:val="22"/>
        </w:rPr>
      </w:pPr>
    </w:p>
    <w:p>
      <w:pPr>
        <w:snapToGrid w:val="0"/>
        <w:spacing w:line="520" w:lineRule="exact"/>
        <w:ind w:firstLine="560" w:firstLineChars="200"/>
        <w:rPr>
          <w:rFonts w:ascii="仿宋" w:hAnsi="仿宋" w:eastAsia="仿宋" w:cs="仿宋"/>
          <w:sz w:val="28"/>
          <w:szCs w:val="22"/>
        </w:rPr>
      </w:pPr>
    </w:p>
    <w:p>
      <w:pPr>
        <w:snapToGrid w:val="0"/>
        <w:spacing w:line="520" w:lineRule="exact"/>
        <w:ind w:firstLine="640" w:firstLineChars="200"/>
        <w:rPr>
          <w:rFonts w:ascii="仿宋" w:hAnsi="仿宋" w:eastAsia="仿宋" w:cs="仿宋"/>
          <w:sz w:val="28"/>
          <w:szCs w:val="22"/>
        </w:rPr>
      </w:pPr>
      <w:r>
        <w:rPr>
          <w:sz w:val="32"/>
        </w:rPr>
        <mc:AlternateContent>
          <mc:Choice Requires="wps">
            <w:drawing>
              <wp:anchor distT="0" distB="0" distL="0" distR="0" simplePos="0" relativeHeight="74183680" behindDoc="0" locked="0" layoutInCell="1" allowOverlap="1">
                <wp:simplePos x="0" y="0"/>
                <wp:positionH relativeFrom="column">
                  <wp:posOffset>81280</wp:posOffset>
                </wp:positionH>
                <wp:positionV relativeFrom="paragraph">
                  <wp:posOffset>34925</wp:posOffset>
                </wp:positionV>
                <wp:extent cx="1603375" cy="303530"/>
                <wp:effectExtent l="13970" t="13970" r="20955" b="25400"/>
                <wp:wrapNone/>
                <wp:docPr id="1029" name="文本框 5"/>
                <wp:cNvGraphicFramePr/>
                <a:graphic xmlns:a="http://schemas.openxmlformats.org/drawingml/2006/main">
                  <a:graphicData uri="http://schemas.microsoft.com/office/word/2010/wordprocessingShape">
                    <wps:wsp>
                      <wps:cNvSpPr/>
                      <wps:spPr>
                        <a:xfrm>
                          <a:off x="0" y="0"/>
                          <a:ext cx="1603375" cy="303530"/>
                        </a:xfrm>
                        <a:prstGeom prst="rect">
                          <a:avLst/>
                        </a:prstGeom>
                        <a:solidFill>
                          <a:srgbClr val="FFFFFF"/>
                        </a:solidFill>
                        <a:ln w="28575" cap="flat" cmpd="sng">
                          <a:pattFill prst="sphere">
                            <a:fgClr>
                              <a:srgbClr val="000000"/>
                            </a:fgClr>
                            <a:bgClr>
                              <a:srgbClr val="FFFFFF"/>
                            </a:bgClr>
                          </a:pattFill>
                          <a:prstDash val="solid"/>
                          <a:miter/>
                          <a:headEnd type="none" w="med" len="med"/>
                          <a:tailEnd type="none" w="med" len="med"/>
                        </a:ln>
                      </wps:spPr>
                      <wps:txbx>
                        <w:txbxContent>
                          <w:p>
                            <w:pPr>
                              <w:spacing w:line="300" w:lineRule="exact"/>
                              <w:jc w:val="center"/>
                              <w:rPr>
                                <w:rFonts w:ascii="楷体" w:hAnsi="楷体" w:eastAsia="楷体" w:cs="楷体"/>
                                <w:sz w:val="28"/>
                                <w:szCs w:val="28"/>
                              </w:rPr>
                            </w:pPr>
                            <w:r>
                              <w:rPr>
                                <w:rFonts w:hint="eastAsia" w:ascii="楷体" w:hAnsi="楷体" w:eastAsia="楷体" w:cs="楷体"/>
                                <w:sz w:val="28"/>
                                <w:szCs w:val="28"/>
                              </w:rPr>
                              <w:t>县市区工作动态</w:t>
                            </w:r>
                          </w:p>
                        </w:txbxContent>
                      </wps:txbx>
                      <wps:bodyPr upright="1"/>
                    </wps:wsp>
                  </a:graphicData>
                </a:graphic>
              </wp:anchor>
            </w:drawing>
          </mc:Choice>
          <mc:Fallback>
            <w:pict>
              <v:rect id="文本框 5" o:spid="_x0000_s1026" o:spt="1" style="position:absolute;left:0pt;margin-left:6.4pt;margin-top:2.75pt;height:23.9pt;width:126.25pt;z-index:74183680;mso-width-relative:page;mso-height-relative:page;" fillcolor="#FFFFFF" filled="t" stroked="t" coordsize="21600,21600" o:gfxdata="UEsDBAoAAAAAAIdO4kAAAAAAAAAAAAAAAAAEAAAAZHJzL1BLAwQUAAAACACHTuJAumuqj9QAAAAH&#10;AQAADwAAAGRycy9kb3ducmV2LnhtbE2OwU7DMBBE70j8g7VI3Khdh0QlxOkBKYILBwoI9ebGSxIR&#10;r6PYTcvfs5zg+DSjmVdtz34UC85xCGRgvVIgkNrgBuoMvL02NxsQMVlydgyEBr4xwra+vKhs6cKJ&#10;XnDZpU7wCMXSGuhTmkopY9ujt3EVJiTOPsPsbWKcO+lme+JxP0qtVCG9HYgfejvhQ4/t1+7oDSzp&#10;6S57fhxuiw+9V9iERmv1bsz11Vrdg0h4Tn9l+NVndajZ6RCO5KIYmTWbJwN5DoJjXeQZiANzloGs&#10;K/nfv/4BUEsDBBQAAAAIAIdO4kDD7nFiJwIAAHsEAAAOAAAAZHJzL2Uyb0RvYy54bWytVEtu2zAQ&#10;3RfoHQjua8k2nKaC5SziupuiDZD2AGOKlAjwB5K25Au0N+iqm+57Lp+jQ1p1mqQLL6KFNBRHb957&#10;M9TyZtCK7LkP0pqaTiclJdww20jT1vTrl82ba0pCBNOAsobX9MADvVm9frXsXcVntrOq4Z4giAlV&#10;72raxeiqogis4xrCxDpucFNYryHi0rdF46FHdK2KWVleFb31jfOW8RDw7fq0SUdEfwmgFUIyvrZs&#10;p7mJJ1TPFUSUFDrpAl1ltkJwFj8LEXgkqqaoNOY7FsF4m+7FaglV68F1ko0U4BIKTzRpkAaLnqHW&#10;EIHsvHwGpSXzNlgRJ8zq4iQkO4IqpuUTb+47cDxrQauDO5seXg6WfdrfeSIbnIRy9o4SAxp7fvzx&#10;/fjz9/HXN7JIDvUuVJh47+78uAoYJrmD8Do9UQgZsquHs6t8iIThy+lVOZ+/XVDCcG9ezhfzbHvx&#10;8LXzIX7gVpMU1NRj17KZsP8YIlbE1L8pqViwSjYbqVRe+HZ7qzzZA3Z4k69EGT95lKYM6Ws6u15k&#10;IoBzK3BekJN2qD2YNhd0EGMCHokE13GfGgCVaLHIs3plvsZ655Ttf3MfcRtTkrCxZMJOItcQupOY&#10;zD9hQ6Vl5Ml6qDoOzXvTkHhw2CeDJ5QmYZo3lCiOBzpFOTOCVJdkIgdl0LDU5FNbUxSH7YAwKdza&#10;5oAzsnNeth22Z5r1ph2cyez0eH7S0P+7zqAP/4zV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pr&#10;qo/UAAAABwEAAA8AAAAAAAAAAQAgAAAAIgAAAGRycy9kb3ducmV2LnhtbFBLAQIUABQAAAAIAIdO&#10;4kDD7nFiJwIAAHsEAAAOAAAAAAAAAAEAIAAAACMBAABkcnMvZTJvRG9jLnhtbFBLBQYAAAAABgAG&#10;AFkBAAC8BQAAAAA=&#10;">
                <v:fill on="t" focussize="0,0"/>
                <v:stroke r:id="rId5" weight="2.25pt" color="#000000" color2="#FFFFFF" joinstyle="miter" o:relid="rId5" filltype="pattern"/>
                <v:imagedata o:title=""/>
                <o:lock v:ext="edit" aspectratio="f"/>
                <v:textbox>
                  <w:txbxContent>
                    <w:p>
                      <w:pPr>
                        <w:spacing w:line="300" w:lineRule="exact"/>
                        <w:jc w:val="center"/>
                        <w:rPr>
                          <w:rFonts w:ascii="楷体" w:hAnsi="楷体" w:eastAsia="楷体" w:cs="楷体"/>
                          <w:sz w:val="28"/>
                          <w:szCs w:val="28"/>
                        </w:rPr>
                      </w:pPr>
                      <w:r>
                        <w:rPr>
                          <w:rFonts w:hint="eastAsia" w:ascii="楷体" w:hAnsi="楷体" w:eastAsia="楷体" w:cs="楷体"/>
                          <w:sz w:val="28"/>
                          <w:szCs w:val="28"/>
                        </w:rPr>
                        <w:t>县市区工作动态</w:t>
                      </w:r>
                    </w:p>
                  </w:txbxContent>
                </v:textbox>
              </v:rect>
            </w:pict>
          </mc:Fallback>
        </mc:AlternateContent>
      </w:r>
    </w:p>
    <w:p>
      <w:pPr>
        <w:snapToGrid w:val="0"/>
        <w:spacing w:line="520" w:lineRule="exact"/>
        <w:ind w:firstLine="560" w:firstLineChars="200"/>
        <w:rPr>
          <w:rFonts w:ascii="仿宋" w:hAnsi="仿宋" w:eastAsia="仿宋" w:cs="仿宋"/>
          <w:sz w:val="28"/>
          <w:szCs w:val="22"/>
        </w:rPr>
      </w:pPr>
    </w:p>
    <w:p>
      <w:pPr>
        <w:snapToGrid w:val="0"/>
        <w:spacing w:line="520" w:lineRule="exact"/>
        <w:ind w:firstLine="562" w:firstLineChars="200"/>
        <w:rPr>
          <w:rFonts w:ascii="仿宋" w:hAnsi="仿宋" w:eastAsia="仿宋" w:cs="仿宋"/>
          <w:sz w:val="28"/>
          <w:szCs w:val="22"/>
        </w:rPr>
      </w:pPr>
      <w:r>
        <w:rPr>
          <w:rFonts w:hint="eastAsia" w:ascii="黑体" w:hAnsi="黑体" w:eastAsia="黑体" w:cs="仿宋"/>
          <w:b/>
          <w:bCs/>
          <w:sz w:val="28"/>
          <w:szCs w:val="22"/>
        </w:rPr>
        <w:t>鹿邑县住建局高质量推进老旧小区改造</w:t>
      </w:r>
      <w:r>
        <w:rPr>
          <w:rFonts w:hint="eastAsia" w:ascii="仿宋" w:hAnsi="仿宋" w:eastAsia="仿宋" w:cs="仿宋"/>
          <w:sz w:val="28"/>
          <w:szCs w:val="22"/>
        </w:rPr>
        <w:t xml:space="preserve"> </w:t>
      </w:r>
      <w:r>
        <w:rPr>
          <w:rFonts w:ascii="仿宋" w:hAnsi="仿宋" w:eastAsia="仿宋" w:cs="仿宋"/>
          <w:sz w:val="28"/>
          <w:szCs w:val="22"/>
        </w:rPr>
        <w:t xml:space="preserve"> </w:t>
      </w:r>
      <w:r>
        <w:rPr>
          <w:rFonts w:hint="eastAsia" w:ascii="仿宋" w:hAnsi="仿宋" w:eastAsia="仿宋" w:cs="仿宋"/>
          <w:sz w:val="28"/>
          <w:szCs w:val="22"/>
        </w:rPr>
        <w:t>近年来，鹿邑县住建局始终坚持把老旧小区改造作为民办实事重点内容，将其与创建国家文明城市等重点工作相结合，做到同安排、同部署、同推进、同落实。截至目前，累计投入5955余万元，改造老旧小区75个，改造面积49.2万平方米，惠及居民4364户。在设计上下功夫。为确保高质量完成小区改造，县住建局坚持以群众需求为导向、群众满意为标准、群众受益为目的。在改造方案上，设计单位多次深入老旧小区改造现场充分听取居民意见建议，形成“一区一策”的方案，再次征求居民代表意见，确保最终改造方案得到群众认可。在监管上出实招。在施工程序上，明确实施改造流程，严格履行规划许可、招标投标、施工图审查、施工许可等建设程序，严格落实相关手续，确保每一个环节都符合项目规范，同时邀请群众代表参与工程建设验收，协助主管部门把好原材料、施工等每一道关口。同时，通过城建联席会、组织检查、媒体监督等举措，形成分工协作、齐抓共管、有序运行的良好局面，全力推动老旧小区改造各项工作顺利开展。在管理上做文章。在党建引领下，以开展全国文明城市创建工作为契机，引导广大居民主动参与小区管理、维护小区秩序、美化小区环境。老君塔社区引进了河南茂东物业管理有限公司对老旧小区进行长效化、精细化管理，破解老旧小区管理难、协调难、维护难等历史问题，提升小区管理质量，切实打通服务群众“最后一公里”。下一步，县住建局将聚焦群众反映的热点难点问题，加快补齐老旧小区短板，持续改善老旧小区整体环境，确保让旧小区呈现新面貌，让居民过上新生活，切实增强群众的获得感幸福感满意度。</w:t>
      </w:r>
    </w:p>
    <w:p>
      <w:pPr>
        <w:snapToGrid w:val="0"/>
        <w:spacing w:line="520" w:lineRule="exact"/>
        <w:ind w:firstLine="562" w:firstLineChars="200"/>
        <w:rPr>
          <w:rFonts w:ascii="仿宋" w:hAnsi="仿宋" w:eastAsia="仿宋" w:cs="仿宋"/>
          <w:sz w:val="28"/>
          <w:szCs w:val="22"/>
        </w:rPr>
      </w:pPr>
      <w:r>
        <w:rPr>
          <w:rFonts w:hint="eastAsia" w:ascii="黑体" w:hAnsi="黑体" w:eastAsia="黑体" w:cs="仿宋"/>
          <w:b/>
          <w:bCs/>
          <w:sz w:val="28"/>
          <w:szCs w:val="22"/>
        </w:rPr>
        <w:t>郸城县住建局脱贫攻坚持续发力</w:t>
      </w:r>
      <w:r>
        <w:rPr>
          <w:rFonts w:hint="eastAsia" w:ascii="仿宋" w:hAnsi="仿宋" w:eastAsia="仿宋" w:cs="仿宋"/>
          <w:sz w:val="28"/>
          <w:szCs w:val="22"/>
        </w:rPr>
        <w:t xml:space="preserve"> </w:t>
      </w:r>
      <w:r>
        <w:rPr>
          <w:rFonts w:ascii="仿宋" w:hAnsi="仿宋" w:eastAsia="仿宋" w:cs="仿宋"/>
          <w:sz w:val="28"/>
          <w:szCs w:val="22"/>
        </w:rPr>
        <w:t xml:space="preserve"> </w:t>
      </w:r>
      <w:r>
        <w:rPr>
          <w:rFonts w:hint="eastAsia" w:ascii="仿宋" w:hAnsi="仿宋" w:eastAsia="仿宋" w:cs="仿宋"/>
          <w:sz w:val="28"/>
          <w:szCs w:val="22"/>
        </w:rPr>
        <w:t>郸城县住建局共承担着2个乡镇5个行政村的驻村帮扶和结对帮扶任务。2020年，积极克服疫情影响，落实“四个不摘”工作要求。一是驻村帮扶工作，单位做后盾、队员当代表，落实“四个不摘”、“八个一”、“三个清零”工作要求，大力巩固、提升帮扶村的脱贫成效。二是今年以来，在全力保障驻村工作队经费的同时，为贫困村投资2万余元，利用闲置土地60亩，栽种5600棵果树苗，用于集体收益、群众分红，可持续增加贫困群众造血功能；投资10万元左右用于“两建三扶四评”活动；帮扶人自发捐赠物品、现金，资金估算10万元左右；资金投入累计22万元。三是在行业扶贫危房改造方面，住建局组织专业机构，对贫困户群体进行逐户鉴定，评定A、B级安全房屋30156户，2020年计划改造四类重点对象917户、投入资金1700万元。截止目前已经超额完成，按照应改尽改政策要求，实际改造了959户，资金已经拨付到各乡镇，提前完成了2020年农村四类重点对象危房改造清零任务。</w:t>
      </w:r>
    </w:p>
    <w:p>
      <w:pPr>
        <w:snapToGrid w:val="0"/>
        <w:spacing w:line="520" w:lineRule="exact"/>
        <w:ind w:firstLine="562" w:firstLineChars="200"/>
        <w:rPr>
          <w:rFonts w:ascii="仿宋" w:hAnsi="仿宋" w:eastAsia="仿宋" w:cs="仿宋"/>
          <w:sz w:val="28"/>
          <w:szCs w:val="22"/>
        </w:rPr>
      </w:pPr>
      <w:r>
        <w:rPr>
          <w:rFonts w:hint="eastAsia" w:ascii="黑体" w:hAnsi="黑体" w:eastAsia="黑体" w:cs="仿宋"/>
          <w:b/>
          <w:bCs/>
          <w:sz w:val="28"/>
          <w:szCs w:val="22"/>
        </w:rPr>
        <w:t>淮阳区住建局组织召开全区房屋建筑施工安全生产工作推进会</w:t>
      </w:r>
      <w:r>
        <w:rPr>
          <w:rFonts w:hint="eastAsia" w:ascii="仿宋" w:hAnsi="仿宋" w:eastAsia="仿宋" w:cs="仿宋"/>
          <w:sz w:val="28"/>
          <w:szCs w:val="22"/>
        </w:rPr>
        <w:t xml:space="preserve"> </w:t>
      </w:r>
      <w:r>
        <w:rPr>
          <w:rFonts w:ascii="仿宋" w:hAnsi="仿宋" w:eastAsia="仿宋" w:cs="仿宋"/>
          <w:sz w:val="28"/>
          <w:szCs w:val="22"/>
        </w:rPr>
        <w:t xml:space="preserve"> </w:t>
      </w:r>
      <w:r>
        <w:rPr>
          <w:rFonts w:hint="eastAsia" w:ascii="仿宋" w:hAnsi="仿宋" w:eastAsia="仿宋" w:cs="仿宋"/>
          <w:sz w:val="28"/>
          <w:szCs w:val="22"/>
        </w:rPr>
        <w:t>11月25日上午，淮阳区住建局组织召开全区房屋建筑施工安全生产工作推进会，全区在建房屋建筑工程施工单位、监理单位负责人共100余人参加会议。会议首先由副局长李颖华通报了前期房屋建筑领域安全生产大排查大整治工作情况。李怀坤局长对下步工作提出具体要求：一是认清形势，提高认识。当前安全生产形势严峻，各地安全事故多发，各参建主体要认清形势，“吃他人堑，长自己智”，严格落实安全生产各项措施；二是正视问题，端正态度。各企业要全面自查和互查，结合各级安全检查指出的问题认真加以整改，全面消除安全隐患；三是铁腕治理，严管重罚。下一步要开展安全隐患整改回头看，对行动迟缓、整改不到位的企业，要依法依规严格处罚，通过严管重罚，倒逼企业落实安全生产主体责任，确保全区建筑领域安全生产形势稳定向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仿宋">
    <w:altName w:val="微软雅黑"/>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方正小标宋简体">
    <w:altName w:val="仿宋_GB2312"/>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1A0F3C52" w:usb2="00000010"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firstLineChars="10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58520" cy="1828800"/>
              <wp:effectExtent l="0" t="0" r="0" b="5715"/>
              <wp:wrapNone/>
              <wp:docPr id="1" name="文本框 1"/>
              <wp:cNvGraphicFramePr/>
              <a:graphic xmlns:a="http://schemas.openxmlformats.org/drawingml/2006/main">
                <a:graphicData uri="http://schemas.microsoft.com/office/word/2010/wordprocessingShape">
                  <wps:wsp>
                    <wps:cNvSpPr txBox="1"/>
                    <wps:spPr>
                      <a:xfrm>
                        <a:off x="0" y="0"/>
                        <a:ext cx="858302"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240" w:firstLineChars="100"/>
                          </w:pPr>
                          <w:r>
                            <w:rPr>
                              <w:rFonts w:hint="eastAsia" w:asciiTheme="majorEastAsia" w:hAnsiTheme="majorEastAsia" w:eastAsiaTheme="majorEastAsia" w:cstheme="majorEastAsia"/>
                              <w:sz w:val="24"/>
                            </w:rPr>
                            <w:t xml:space="preserve">— </w:t>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  \* MERGEFORMAT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67.6pt;mso-position-horizontal:outside;mso-position-horizontal-relative:margin;z-index:251658240;mso-width-relative:page;mso-height-relative:page;" filled="f" stroked="f" coordsize="21600,21600" o:gfxdata="UEsDBAoAAAAAAIdO4kAAAAAAAAAAAAAAAAAEAAAAZHJzL1BLAwQUAAAACACHTuJACJidndQAAAAF&#10;AQAADwAAAGRycy9kb3ducmV2LnhtbE2PMU/DMBCFdyT+g3VIbNRuECgKcTog6AATKUKM1/gSp43P&#10;UeymhV+PywLLSU/v7r3vytXJDWKmKfSeNSwXCgRx403PnYb3zfNNDiJEZIODZ9LwRQFW1eVFiYXx&#10;R36juY6dSCEcCtRgYxwLKUNjyWFY+JE4ea2fHMYkp06aCY8p3A0yU+peOuw5NVgc6dFSs68PLmF8&#10;vCq3/m7tp3vBNtR2M6+fdlpfXy3VA4hIp/i3DGf8dANVYtr6A5sgBg3pkfg7z97tXQZiqyHLcwWy&#10;KuV/+uoHUEsDBBQAAAAIAIdO4kCyg+DLMQIAAFYEAAAOAAAAZHJzL2Uyb0RvYy54bWytVEtu2zAU&#10;3BfoHQjuG8kOEhiG5cBNkKKA0QRwi65piooE8FeStuQeoL1BV910n3P5HB1SklOkXWTRDf3E9515&#10;Qy+uOiXJXjjfGF3QyVlOidDclI1+KOinj7dvZpT4wHTJpNGioAfh6dXy9atFa+diamojS+EIimg/&#10;b21B6xDsPMs8r4Vi/sxYoeGsjFMs4NM9ZKVjLaormU3z/DJrjSutM1x4j9ub3kmHiu4lBU1VNVzc&#10;GL5TQoe+qhOSBUDydWM9XaZpq0rwcFdVXgQiCwqkIZ1oAnsbz2y5YPMHx2zd8GEE9pIRnmFSrNFo&#10;eip1wwIjO9f8VUo13BlvqnDGjcp6IIkRoJjkz7jZ1MyKhAVUe3si3f+/svzD/t6RpoQSKNFMYeHH&#10;H9+PPx+Pv76RSaSntX6OqI1FXOjemi6GDvcelxF1VzkVf4GHwA9yDydyRRcIx+XsYnaeTynhcE1m&#10;09ksT+xnT9nW+fBOGEWiUVCH5SVO2X7tAzoidAyJzbS5baRMC5SatAW9PL/IU8LJgwypkRgx9LNG&#10;K3TbbgCwNeUBuJzpheEtv23QfM18uGcOSgAUvJVwh6OSBk3MYFFSG/f1X/cxHguCl5IWyiqo/7Jj&#10;TlAi32usLspwNNxobEdD79S1gVixDkyTTCS4IEezckZ9xhNaxS5wMc3Rq6BhNK9Dr288QS5WqxQE&#10;sVkW1npjeSwd6fN2tQugMDEbaem5GNiC3BLhw9OIev7zO0U9/R0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ImJ2d1AAAAAUBAAAPAAAAAAAAAAEAIAAAACIAAABkcnMvZG93bnJldi54bWxQSwEC&#10;FAAUAAAACACHTuJAsoPgyzECAABWBAAADgAAAAAAAAABACAAAAAjAQAAZHJzL2Uyb0RvYy54bWxQ&#10;SwUGAAAAAAYABgBZAQAAxgUAAAAA&#10;">
              <v:fill on="f" focussize="0,0"/>
              <v:stroke on="f" weight="0.5pt"/>
              <v:imagedata o:title=""/>
              <o:lock v:ext="edit" aspectratio="f"/>
              <v:textbox inset="0mm,0mm,0mm,0mm" style="mso-fit-shape-to-text:t;">
                <w:txbxContent>
                  <w:p>
                    <w:pPr>
                      <w:pStyle w:val="4"/>
                      <w:ind w:firstLine="240" w:firstLineChars="100"/>
                    </w:pPr>
                    <w:r>
                      <w:rPr>
                        <w:rFonts w:hint="eastAsia" w:asciiTheme="majorEastAsia" w:hAnsiTheme="majorEastAsia" w:eastAsiaTheme="majorEastAsia" w:cstheme="majorEastAsia"/>
                        <w:sz w:val="24"/>
                      </w:rPr>
                      <w:t xml:space="preserve">— </w:t>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  \* MERGEFORMAT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 xml:space="preserve"> —</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380209"/>
    <w:rsid w:val="000161D4"/>
    <w:rsid w:val="002D0B46"/>
    <w:rsid w:val="00325C9C"/>
    <w:rsid w:val="0052472E"/>
    <w:rsid w:val="00575A19"/>
    <w:rsid w:val="005F7CCA"/>
    <w:rsid w:val="00694A8F"/>
    <w:rsid w:val="007E7AE4"/>
    <w:rsid w:val="00AA538F"/>
    <w:rsid w:val="00B01032"/>
    <w:rsid w:val="00B2110A"/>
    <w:rsid w:val="00B500F9"/>
    <w:rsid w:val="00C26393"/>
    <w:rsid w:val="00CB37D3"/>
    <w:rsid w:val="00DA3DAC"/>
    <w:rsid w:val="00E60E2C"/>
    <w:rsid w:val="00EB58B1"/>
    <w:rsid w:val="0E3D0C94"/>
    <w:rsid w:val="13380209"/>
    <w:rsid w:val="16EE43FD"/>
    <w:rsid w:val="172D5064"/>
    <w:rsid w:val="1F94562F"/>
    <w:rsid w:val="24183008"/>
    <w:rsid w:val="38DC6253"/>
    <w:rsid w:val="3B3D2F8C"/>
    <w:rsid w:val="3D9C7BB7"/>
    <w:rsid w:val="3F6939B5"/>
    <w:rsid w:val="43FE024A"/>
    <w:rsid w:val="44E17601"/>
    <w:rsid w:val="4E0C673F"/>
    <w:rsid w:val="50253ED3"/>
    <w:rsid w:val="5485625D"/>
    <w:rsid w:val="54D346A4"/>
    <w:rsid w:val="54FB1A22"/>
    <w:rsid w:val="58E55D15"/>
    <w:rsid w:val="59E80D34"/>
    <w:rsid w:val="5F9B6C86"/>
    <w:rsid w:val="60520CD2"/>
    <w:rsid w:val="68C71ED0"/>
    <w:rsid w:val="6CD26FA2"/>
    <w:rsid w:val="7EAA6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340" w:lineRule="exact"/>
      <w:jc w:val="right"/>
      <w:outlineLvl w:val="1"/>
    </w:pPr>
    <w:rPr>
      <w:rFonts w:ascii="Arial" w:hAnsi="Arial" w:eastAsia="仿宋"/>
      <w:sz w:val="2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标题 1 字符"/>
    <w:basedOn w:val="7"/>
    <w:link w:val="2"/>
    <w:qFormat/>
    <w:uiPriority w:val="0"/>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bmp"/><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12409</Words>
  <Characters>786</Characters>
  <Lines>6</Lines>
  <Paragraphs>26</Paragraphs>
  <TotalTime>3</TotalTime>
  <ScaleCrop>false</ScaleCrop>
  <LinksUpToDate>false</LinksUpToDate>
  <CharactersWithSpaces>13169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2020-12-29T01:36:00Z</dcterms:created>
  <dc:creator>Administrator</dc:creator>
  <cp:lastModifiedBy>Administrator</cp:lastModifiedBy>
  <dcterms:modified xsi:type="dcterms:W3CDTF">2021-01-07T00:46:29Z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