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val="0"/>
          <w:color w:val="auto"/>
          <w:sz w:val="44"/>
          <w:szCs w:val="44"/>
          <w:lang w:eastAsia="zh-CN"/>
        </w:rPr>
        <w:t>市民政局兜底保障困难群</w:t>
      </w: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众基本生活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织密兜牢困难群众基本生活保障网。</w:t>
      </w:r>
      <w:r>
        <w:rPr>
          <w:rFonts w:hint="default"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color w:val="auto"/>
          <w:sz w:val="32"/>
          <w:szCs w:val="32"/>
          <w:lang w:val="en-US" w:eastAsia="zh-CN"/>
        </w:rPr>
        <w:t>实行特困人员救助供养。将建档立卡贫困户中符合特困供养条件的人员全部纳入救助供养范围</w:t>
      </w: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b/>
          <w:bCs/>
          <w:kern w:val="2"/>
          <w:sz w:val="32"/>
          <w:szCs w:val="32"/>
          <w:lang w:val="en-US" w:eastAsia="zh-CN" w:bidi="ar-SA"/>
        </w:rPr>
        <w:t>是</w:t>
      </w:r>
      <w:r>
        <w:rPr>
          <w:rFonts w:hint="eastAsia" w:ascii="仿宋_GB2312" w:hAnsi="仿宋_GB2312" w:eastAsia="仿宋_GB2312" w:cs="仿宋_GB2312"/>
          <w:color w:val="auto"/>
          <w:sz w:val="32"/>
          <w:szCs w:val="32"/>
          <w:lang w:val="en-US" w:eastAsia="zh-CN"/>
        </w:rPr>
        <w:t>提高临时救助效能。简化优化审批程序，提高救助效率，县级民政部门下放乡镇（街道）审批。</w:t>
      </w:r>
      <w:r>
        <w:rPr>
          <w:rFonts w:hint="default"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color w:val="auto"/>
          <w:sz w:val="32"/>
          <w:szCs w:val="32"/>
          <w:lang w:val="en-US" w:eastAsia="zh-CN"/>
        </w:rPr>
        <w:t>落实儿童和残疾人福利</w:t>
      </w:r>
      <w:r>
        <w:rPr>
          <w:rFonts w:hint="eastAsia" w:ascii="仿宋_GB2312" w:hAnsi="仿宋_GB2312" w:eastAsia="仿宋_GB2312" w:cs="仿宋_GB2312"/>
          <w:color w:val="auto"/>
          <w:sz w:val="32"/>
          <w:szCs w:val="32"/>
          <w:lang w:val="en-US" w:eastAsia="zh-CN"/>
        </w:rPr>
        <w:t>。及时足额发放孤儿基本生活费。强化机构外孤弃儿监护监督，加强对乡镇儿童督导员和村（居）儿童主任的工作指导，掌握困境儿童、农村留守儿童、散居孤儿家庭的生活保障、家庭监护等基本信息，及时开展有针对性的走访探视和必要帮助。持续做好残疾人“两项补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完善社会救助制度。</w:t>
      </w:r>
      <w:r>
        <w:rPr>
          <w:rFonts w:hint="eastAsia" w:ascii="仿宋_GB2312" w:hAnsi="仿宋_GB2312" w:eastAsia="仿宋_GB2312" w:cs="仿宋_GB2312"/>
          <w:color w:val="auto"/>
          <w:sz w:val="32"/>
          <w:szCs w:val="32"/>
          <w:lang w:val="en-US" w:eastAsia="zh-CN"/>
        </w:rPr>
        <w:t>及时完成低保、特困供养提标工作，从2020年1月1日起，将城乡低保对象月人均财政补助水平分别由不低于274月、166元提高到不低于286元、178元。认真执行社会救助和保障标准与物价上涨挂钩联动机制，及时足额发放价格临时补贴。加强临时救助与低保政策的衔接，对困难群众可视情况实施先行救助，一段时间后仍然困难的，按规定纳入低保兜底保障范围。（市民政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13B6D"/>
    <w:rsid w:val="04EC1E90"/>
    <w:rsid w:val="0BAE0140"/>
    <w:rsid w:val="10B1495E"/>
    <w:rsid w:val="11BA4E07"/>
    <w:rsid w:val="1C394F44"/>
    <w:rsid w:val="21C243B9"/>
    <w:rsid w:val="239D288D"/>
    <w:rsid w:val="249434F1"/>
    <w:rsid w:val="27921E6F"/>
    <w:rsid w:val="301D03F9"/>
    <w:rsid w:val="374A46A2"/>
    <w:rsid w:val="4F0F1EE3"/>
    <w:rsid w:val="54913B6D"/>
    <w:rsid w:val="59332F4E"/>
    <w:rsid w:val="6905620F"/>
    <w:rsid w:val="76090BB2"/>
    <w:rsid w:val="79B42A4E"/>
    <w:rsid w:val="7DA0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2020-04-08T00:52:00Z</dcterms:created>
  <dc:creator>张秋怡باسمة</dc:creator>
  <cp:lastModifiedBy>lenovo</cp:lastModifiedBy>
  <dcterms:modified xsi:type="dcterms:W3CDTF">2020-04-10T09:20:02Z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