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市民政局积极贯彻落实市委经济工作会议精神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2021年是</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开局之年，</w:t>
      </w:r>
      <w:r>
        <w:rPr>
          <w:rFonts w:hint="eastAsia" w:ascii="仿宋_GB2312" w:hAnsi="仿宋_GB2312" w:eastAsia="仿宋_GB2312" w:cs="仿宋_GB2312"/>
          <w:sz w:val="32"/>
          <w:szCs w:val="32"/>
        </w:rPr>
        <w:t>民政事业发展面临着</w:t>
      </w:r>
      <w:r>
        <w:rPr>
          <w:rFonts w:hint="eastAsia" w:ascii="仿宋_GB2312" w:hAnsi="仿宋_GB2312" w:eastAsia="仿宋_GB2312" w:cs="仿宋_GB2312"/>
          <w:sz w:val="32"/>
          <w:szCs w:val="32"/>
          <w:lang w:eastAsia="zh-CN"/>
        </w:rPr>
        <w:t>人民群众新的诉求和期盼，面对新形势、</w:t>
      </w:r>
      <w:r>
        <w:rPr>
          <w:rFonts w:hint="eastAsia" w:ascii="仿宋_GB2312" w:hAnsi="仿宋_GB2312" w:eastAsia="仿宋_GB2312" w:cs="仿宋_GB2312"/>
          <w:sz w:val="32"/>
          <w:szCs w:val="32"/>
        </w:rPr>
        <w:t>新变化、新要求</w:t>
      </w:r>
      <w:r>
        <w:rPr>
          <w:rFonts w:hint="eastAsia" w:ascii="仿宋_GB2312" w:hAnsi="仿宋_GB2312" w:eastAsia="仿宋_GB2312" w:cs="仿宋_GB2312"/>
          <w:sz w:val="32"/>
          <w:szCs w:val="32"/>
          <w:lang w:eastAsia="zh-CN"/>
        </w:rPr>
        <w:t>，市民政局积极贯彻落实市委经济工作会议精神，科学部署</w:t>
      </w:r>
      <w:r>
        <w:rPr>
          <w:rFonts w:hint="eastAsia" w:ascii="仿宋_GB2312" w:hAnsi="仿宋_GB2312" w:eastAsia="仿宋_GB2312" w:cs="仿宋_GB2312"/>
          <w:sz w:val="32"/>
          <w:szCs w:val="32"/>
          <w:lang w:val="en-US" w:eastAsia="zh-CN"/>
        </w:rPr>
        <w:t>2021年重点工作，</w:t>
      </w:r>
      <w:r>
        <w:rPr>
          <w:rFonts w:hint="eastAsia" w:ascii="仿宋_GB2312" w:hAnsi="仿宋_GB2312" w:eastAsia="仿宋_GB2312" w:cs="仿宋_GB2312"/>
          <w:color w:val="auto"/>
          <w:sz w:val="32"/>
          <w:szCs w:val="32"/>
          <w:lang w:val="en-US" w:eastAsia="zh-CN"/>
        </w:rPr>
        <w:t>为“十四五”开好局、起好步打牢基础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一是完善社会救助体系。</w:t>
      </w:r>
      <w:r>
        <w:rPr>
          <w:rFonts w:hint="eastAsia" w:ascii="仿宋_GB2312" w:hAnsi="仿宋_GB2312" w:eastAsia="仿宋_GB2312" w:cs="仿宋_GB2312"/>
          <w:color w:val="000000"/>
          <w:sz w:val="32"/>
          <w:szCs w:val="32"/>
          <w:lang w:val="en-US" w:eastAsia="zh-CN"/>
        </w:rPr>
        <w:t>完成2021年我市城乡低保标准、补助水平及特困人员救助供养标准提标工作。完善基本生活救助标准自然增长机制。对已纳入低保范围的重度残疾人、重病患者以及老年人、未成年人等困难群众，通过增加低保金额或拉大补助档差等方式适当提高救助水平。健全临时救助制度。进一步加强分类救助，对急难型临时救助，可以实行“小金额先行救助”，事后补充说明情况；对支出型临时救助，可以采取“分级审批”“一次审批、分阶段救助”等方式，增强救助的时效性；对遭遇重大生活困难的，可采用“一事一议”方式适度提高临时救助标准。建立乡镇（街道）临时救助备用金制度。强化临时救助与慈善救助及其他救助制度的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善低保、特困人员和低收入家庭认定办法。对低收入家庭中的重度残疾人、重病患者等，根据本人申请，可以参照“单人户”纳入低保。将特困救助供养覆盖的未成年人年龄从16周岁延长至18周岁。优化审核确认程序，将低保、特困人员、小额临时救助等社会救助审核确认权限下放至乡镇（街道），县级民政部门加强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二是强化养老事业发展弱项。落实2021年社区养老服务设施建设任务，在中心城区建成5所社区老年人日间照料中心。落实县级中心</w:t>
      </w:r>
      <w:bookmarkStart w:id="0" w:name="_GoBack"/>
      <w:bookmarkEnd w:id="0"/>
      <w:r>
        <w:rPr>
          <w:rFonts w:hint="eastAsia" w:ascii="仿宋_GB2312" w:hAnsi="仿宋_GB2312" w:eastAsia="仿宋_GB2312" w:cs="仿宋_GB2312"/>
          <w:color w:val="000000"/>
          <w:sz w:val="32"/>
          <w:szCs w:val="32"/>
          <w:lang w:val="en-US" w:eastAsia="zh-CN"/>
        </w:rPr>
        <w:t>敬老院建设任务，2021年底前全市敬老院护理型床位占比达到40%以上。持续推进敬老院改造提升工程，</w:t>
      </w:r>
      <w:r>
        <w:rPr>
          <w:rFonts w:hint="eastAsia" w:ascii="仿宋_GB2312" w:hAnsi="仿宋_GB2312" w:eastAsia="仿宋_GB2312" w:cs="仿宋_GB2312"/>
          <w:b w:val="0"/>
          <w:bCs w:val="0"/>
          <w:sz w:val="32"/>
          <w:szCs w:val="32"/>
          <w:lang w:val="en-US" w:eastAsia="zh-CN"/>
        </w:rPr>
        <w:t>不断提高敬老院服务质量</w:t>
      </w:r>
      <w:r>
        <w:rPr>
          <w:rFonts w:hint="eastAsia" w:ascii="仿宋_GB2312" w:hAnsi="仿宋_GB2312" w:eastAsia="仿宋_GB2312" w:cs="仿宋_GB2312"/>
          <w:color w:val="000000"/>
          <w:sz w:val="32"/>
          <w:szCs w:val="32"/>
          <w:lang w:val="en-US" w:eastAsia="zh-CN"/>
        </w:rPr>
        <w:t>。按时足额发放80岁以上老年人高龄补贴。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三是保障儿童、残疾人福利。严格落实孤儿和困境儿童分类保障政策，及时足额发放各项资金。加强未成年人救助保护机构及儿童福利机构功能建设。为避免福利机构供养儿童分散，造成资源浪费现象，计划于今年，将全市县级福利机构养育的儿童转移到周口市社会福利中心集中养育，为机构内儿童创造更好的生活条件，提供更加优质的服务。落实好残疾人“两项补贴”。在“两项补贴”及时发放到位的基础上，立足于全国残疾人信息系统，指导全市残疾人“两项补贴”发放人员展开数据比对，降低残疾人“两项补贴”发放错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五是强化城乡社区治理。依法依规完成全市村（社区）“两委”换届。推进省级规范化社区创建工作。探索村级议事协商，做好项城市丁集镇沈庄村、商水县城关乡瓦房庄村村级议事协商创新实验单位建设。</w:t>
      </w:r>
      <w:r>
        <w:rPr>
          <w:rFonts w:hint="eastAsia" w:ascii="仿宋_GB2312" w:hAnsi="仿宋_GB2312" w:eastAsia="仿宋_GB2312" w:cs="仿宋_GB2312"/>
          <w:b w:val="0"/>
          <w:bCs w:val="0"/>
          <w:sz w:val="32"/>
          <w:szCs w:val="32"/>
          <w:lang w:eastAsia="zh-CN"/>
        </w:rPr>
        <w:t>推进乡镇政府服务能力示范点建设</w:t>
      </w:r>
      <w:r>
        <w:rPr>
          <w:rFonts w:hint="eastAsia" w:ascii="仿宋_GB2312" w:hAnsi="仿宋_GB2312" w:eastAsia="仿宋_GB2312" w:cs="仿宋_GB2312"/>
          <w:color w:val="000000"/>
          <w:sz w:val="32"/>
          <w:szCs w:val="32"/>
          <w:lang w:val="en-US" w:eastAsia="zh-CN"/>
        </w:rPr>
        <w:t>，大力推进项城市丁集镇、商水县城关乡、太康县杨庙乡3个乡镇政府服务能力示范点建设。（市民政局）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9100F"/>
    <w:rsid w:val="125B0168"/>
    <w:rsid w:val="14844856"/>
    <w:rsid w:val="156017A8"/>
    <w:rsid w:val="1593591B"/>
    <w:rsid w:val="1E12270B"/>
    <w:rsid w:val="24BA48D5"/>
    <w:rsid w:val="2D832EC3"/>
    <w:rsid w:val="2E556994"/>
    <w:rsid w:val="388A0A79"/>
    <w:rsid w:val="3F8D6801"/>
    <w:rsid w:val="401E3D92"/>
    <w:rsid w:val="446841EA"/>
    <w:rsid w:val="4644184F"/>
    <w:rsid w:val="4B0B578A"/>
    <w:rsid w:val="6608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2021-01-27T03:16:00Z</dcterms:created>
  <dc:creator>lenovo</dc:creator>
  <cp:lastModifiedBy>lenovo</cp:lastModifiedBy>
  <dcterms:modified xsi:type="dcterms:W3CDTF">2021-01-28T00:42:46Z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