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FWZN-</w:t>
      </w:r>
      <w: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TE411600WSJK000001300012302300002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医疗机构放射性职业病危害建设项目预评价报告审核服务指南</w:t>
      </w: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发布                                  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实施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周口市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卫生健康委员会</w:t>
      </w:r>
      <w:r>
        <w:rPr>
          <w:rFonts w:hint="eastAsia" w:ascii="黑体" w:hAnsi="黑体" w:eastAsia="黑体" w:cs="黑体"/>
          <w:sz w:val="28"/>
          <w:szCs w:val="28"/>
        </w:rPr>
        <w:t xml:space="preserve">    发布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医疗机构放射性职业病危害建设项目预评价报告审核服务指南</w:t>
      </w:r>
      <w:r>
        <w:rPr>
          <w:rFonts w:hint="eastAsia" w:ascii="黑体" w:hAnsi="黑体" w:eastAsia="黑体" w:cs="黑体"/>
          <w:szCs w:val="21"/>
          <w:lang w:eastAsia="zh-CN"/>
        </w:rPr>
        <w:t>一、</w:t>
      </w:r>
      <w:r>
        <w:rPr>
          <w:rFonts w:hint="eastAsia" w:ascii="黑体" w:hAnsi="黑体" w:eastAsia="黑体" w:cs="黑体"/>
          <w:szCs w:val="21"/>
        </w:rPr>
        <w:t>事项编码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TE411600WSJK000001300012302300002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二、</w:t>
      </w:r>
      <w:r>
        <w:rPr>
          <w:rFonts w:hint="eastAsia" w:ascii="黑体" w:hAnsi="黑体" w:eastAsia="黑体" w:cs="黑体"/>
          <w:szCs w:val="21"/>
        </w:rPr>
        <w:t>适用范围</w:t>
      </w:r>
    </w:p>
    <w:p>
      <w:pPr>
        <w:ind w:firstLine="420" w:firstLineChars="200"/>
        <w:jc w:val="left"/>
        <w:rPr>
          <w:rFonts w:hint="eastAsia" w:ascii="黑体" w:hAnsi="黑体" w:eastAsia="黑体" w:cs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</w:rPr>
        <w:t>适用于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周口市辖区内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的医疗机构放射性职业病危害建设项目预评价报告审核服务指南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三、</w:t>
      </w:r>
      <w:r>
        <w:rPr>
          <w:rFonts w:hint="eastAsia" w:ascii="黑体" w:hAnsi="黑体" w:eastAsia="黑体" w:cs="黑体"/>
          <w:szCs w:val="21"/>
        </w:rPr>
        <w:t>事项类型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/>
        </w:rPr>
      </w:pPr>
      <w:r>
        <w:rPr>
          <w:rFonts w:hint="eastAsia" w:ascii="黑体" w:hAnsi="黑体" w:eastAsia="黑体" w:cs="黑体"/>
          <w:szCs w:val="21"/>
          <w:lang w:eastAsia="zh-CN"/>
        </w:rPr>
        <w:t>行政</w:t>
      </w:r>
      <w:r>
        <w:rPr>
          <w:rFonts w:hint="eastAsia" w:ascii="黑体" w:hAnsi="黑体" w:eastAsia="黑体" w:cs="黑体"/>
          <w:szCs w:val="21"/>
          <w:lang w:val="en-US" w:eastAsia="zh-CN"/>
        </w:rPr>
        <w:t>许可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四、</w:t>
      </w:r>
      <w:r>
        <w:rPr>
          <w:rFonts w:hint="eastAsia" w:ascii="黑体" w:hAnsi="黑体" w:eastAsia="黑体" w:cs="黑体"/>
          <w:szCs w:val="21"/>
        </w:rPr>
        <w:t>设立依据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 xml:space="preserve">   《中华人民共和国职业病防治法》（2001年10月27日主席令第六十号，2018年12月29日予以修改）第十七条：新建、扩建、改建建设项目和技术改造、技术引进项目（以下统称建设项目）可能产生职业病危害的，建设单位在可行性论证阶段应当进行职业病危害预评价。医疗机构建设项目可能产生放射性职业病危害的，建设单位应当向卫生行政部门提交放射性职业病危害预评价报告。卫生行政部门应当自收到预评价报告之日起三十日内，作出审核决定并书面通知建设单位。未提交预评价报告或者预评价报告未经卫生行政部门审核同意的，不得开工建设</w:t>
      </w:r>
      <w:r>
        <w:rPr>
          <w:rFonts w:hint="eastAsia" w:ascii="黑体" w:hAnsi="黑体" w:eastAsia="黑体" w:cs="黑体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五、</w:t>
      </w:r>
      <w:r>
        <w:rPr>
          <w:rFonts w:hint="eastAsia" w:ascii="黑体" w:hAnsi="黑体" w:eastAsia="黑体" w:cs="黑体"/>
          <w:szCs w:val="21"/>
        </w:rPr>
        <w:t>受理机构</w:t>
      </w:r>
    </w:p>
    <w:p>
      <w:pPr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 xml:space="preserve">   </w:t>
      </w:r>
      <w:r>
        <w:rPr>
          <w:rFonts w:hint="eastAsia" w:ascii="黑体" w:hAnsi="黑体" w:eastAsia="黑体" w:cs="黑体"/>
          <w:szCs w:val="21"/>
          <w:lang w:eastAsia="zh-CN"/>
        </w:rPr>
        <w:t>周口</w:t>
      </w:r>
      <w:r>
        <w:rPr>
          <w:rFonts w:hint="eastAsia" w:ascii="黑体" w:hAnsi="黑体" w:eastAsia="黑体" w:cs="黑体"/>
          <w:szCs w:val="21"/>
        </w:rPr>
        <w:t>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六、</w:t>
      </w:r>
      <w:r>
        <w:rPr>
          <w:rFonts w:hint="eastAsia" w:ascii="黑体" w:hAnsi="黑体" w:eastAsia="黑体" w:cs="黑体"/>
          <w:szCs w:val="21"/>
        </w:rPr>
        <w:t>决定机构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 xml:space="preserve">    </w:t>
      </w:r>
      <w:r>
        <w:rPr>
          <w:rFonts w:hint="eastAsia" w:ascii="黑体" w:hAnsi="黑体" w:eastAsia="黑体" w:cs="黑体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办理条件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（一）准予批准的条件：</w:t>
      </w:r>
    </w:p>
    <w:p>
      <w:pPr>
        <w:numPr>
          <w:ilvl w:val="0"/>
          <w:numId w:val="0"/>
        </w:numPr>
        <w:ind w:left="420" w:leftChars="0" w:firstLine="630" w:firstLineChars="3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材料齐全。</w:t>
      </w:r>
    </w:p>
    <w:p>
      <w:pPr>
        <w:numPr>
          <w:ilvl w:val="0"/>
          <w:numId w:val="2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不准予批准的条件：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材料不齐全。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（</w:t>
      </w:r>
      <w:r>
        <w:rPr>
          <w:rFonts w:hint="eastAsia" w:ascii="黑体" w:hAnsi="黑体" w:eastAsia="黑体" w:cs="黑体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szCs w:val="21"/>
          <w:lang w:eastAsia="zh-CN"/>
        </w:rPr>
        <w:t>）</w:t>
      </w:r>
      <w:r>
        <w:rPr>
          <w:rFonts w:hint="eastAsia" w:ascii="黑体" w:hAnsi="黑体" w:eastAsia="黑体" w:cs="黑体"/>
          <w:szCs w:val="21"/>
        </w:rPr>
        <w:t xml:space="preserve">其他需说明的条件： 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无数量限制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八、</w:t>
      </w:r>
      <w:r>
        <w:rPr>
          <w:rFonts w:hint="eastAsia" w:ascii="黑体" w:hAnsi="黑体" w:eastAsia="黑体" w:cs="黑体"/>
          <w:szCs w:val="21"/>
        </w:rPr>
        <w:t>申办材料</w:t>
      </w:r>
    </w:p>
    <w:p>
      <w:pPr>
        <w:ind w:firstLine="42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申办材料应符合以下要求：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701"/>
        <w:gridCol w:w="1134"/>
        <w:gridCol w:w="755"/>
        <w:gridCol w:w="130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提交材料名称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原件/复印件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份数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纸质/电子版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医疗机构放射性职业病危害建设项目预评价报告审核申请表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医疗机构放射性职业病危害建设项目预评价报告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授权委托书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</w:tbl>
    <w:p>
      <w:pPr>
        <w:ind w:firstLine="420" w:firstLineChars="200"/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九、受理方式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窗口受理：直接到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szCs w:val="21"/>
        </w:rPr>
        <w:t>窗口提交申办材料。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网上申报：进入河南政务服务网（http://www.hnzwfw.gov.cn/）按照提示进行网上申报。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十、办理流程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（一）受理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受理窗口对申请材料进行审查，能当场予以确认的，应当场出具受理通知书；不能当场确认的，自收到申请材料之日起3个工作日内作出是否受理的决定；不符合规定的，向申请单位出具不予受理通知书。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（二）审查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应当指派有关人员或者组织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对申请材料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进行审查。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决定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在办理处室审查完成后，实施部门应在承诺时限内作出是否同意申请事项的决定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办结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十一、办理时限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法定时限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30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承诺时限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十二、收费依据及标准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无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十三、结果送达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个工作日内申请对象窗口领取或邮寄送达。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</w:rPr>
        <w:t>、咨询方式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现场咨询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0394-8228220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网上咨询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Cs w:val="21"/>
        </w:rPr>
        <w:t>、监督投诉渠道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电话监督投诉</w:t>
      </w:r>
    </w:p>
    <w:p>
      <w:pPr>
        <w:ind w:left="735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-12345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0394-8222833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网上监督投诉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、办理地址和时间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地址：周口市东新区（县）文昌街道 光明路与人和路交叉口往北50米路西市行政服务中心（交通指引：乘坐15/16路公交车到行政服务中心站下车 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时间：周一至周五，夏季：上午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Cs w:val="21"/>
        </w:rPr>
        <w:t>3:00-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</w:t>
      </w:r>
      <w:r>
        <w:rPr>
          <w:rFonts w:hint="eastAsia" w:ascii="黑体" w:hAnsi="黑体" w:eastAsia="黑体" w:cs="黑体"/>
          <w:b w:val="0"/>
          <w:bCs w:val="0"/>
          <w:szCs w:val="21"/>
        </w:rPr>
        <w:t>:00；冬季：上午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 w:val="0"/>
          <w:szCs w:val="21"/>
        </w:rPr>
        <w:t>: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Cs w:val="21"/>
        </w:rPr>
        <w:t>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17:00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Cs w:val="21"/>
        </w:rPr>
        <w:t>、办理进程和结果查询</w:t>
      </w:r>
    </w:p>
    <w:p>
      <w:pPr>
        <w:numPr>
          <w:ilvl w:val="0"/>
          <w:numId w:val="7"/>
        </w:numPr>
        <w:ind w:firstLine="630" w:firstLine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办理进程查询方式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http://www.hnzwfw.gov.cn/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(二）结果公开查询方式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卫生健康委员会窗口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 xml:space="preserve"> 0394-8228220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十八、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办理结果样本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drawing>
          <wp:inline distT="0" distB="0" distL="114300" distR="114300">
            <wp:extent cx="5200650" cy="7219950"/>
            <wp:effectExtent l="0" t="0" r="0" b="0"/>
            <wp:docPr id="3" name="图片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wnlo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t>十九</w:t>
      </w:r>
      <w:r>
        <w:rPr>
          <w:rFonts w:hint="eastAsia" w:ascii="黑体" w:hAnsi="黑体" w:eastAsia="黑体" w:cs="黑体"/>
          <w:szCs w:val="21"/>
        </w:rPr>
        <w:t>、附件</w:t>
      </w:r>
      <w:r>
        <w:rPr>
          <w:rFonts w:hint="eastAsia" w:ascii="黑体" w:hAnsi="黑体" w:eastAsia="黑体" w:cs="黑体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Cs w:val="21"/>
        </w:rPr>
        <w:t>：事项流</w:t>
      </w:r>
      <w:r>
        <w:rPr>
          <w:rFonts w:hint="eastAsia" w:ascii="黑体" w:hAnsi="黑体" w:eastAsia="黑体" w:cs="黑体"/>
          <w:szCs w:val="21"/>
          <w:lang w:eastAsia="zh-CN"/>
        </w:rPr>
        <w:t>程图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drawing>
          <wp:inline distT="0" distB="0" distL="114300" distR="114300">
            <wp:extent cx="4328160" cy="6783070"/>
            <wp:effectExtent l="0" t="0" r="15240" b="17780"/>
            <wp:docPr id="2" name="图片 2" descr="医疗机构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疗机构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Cs w:val="21"/>
        </w:rPr>
        <w:t>：常见问题解答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1、问：一般多长时间可以办完审批手续？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答：承诺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个工作日办完。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2、问：收费标准及依据是什么？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Cs w:val="21"/>
        </w:rPr>
        <w:t>答：办理此事项不收费</w:t>
      </w:r>
      <w:r>
        <w:rPr>
          <w:rFonts w:hint="eastAsia" w:ascii="宋体" w:hAnsi="宋体" w:cs="宋体"/>
          <w:szCs w:val="21"/>
          <w:lang w:eastAsia="zh-CN"/>
        </w:rPr>
        <w:t>。</w:t>
      </w:r>
    </w:p>
    <w:sectPr>
      <w:pgSz w:w="11906" w:h="16838"/>
      <w:pgMar w:top="119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C6096"/>
    <w:multiLevelType w:val="singleLevel"/>
    <w:tmpl w:val="C7EC60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FE345C"/>
    <w:multiLevelType w:val="singleLevel"/>
    <w:tmpl w:val="D4FE345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4EC037C"/>
    <w:multiLevelType w:val="singleLevel"/>
    <w:tmpl w:val="F4EC037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3">
    <w:nsid w:val="F535B081"/>
    <w:multiLevelType w:val="singleLevel"/>
    <w:tmpl w:val="F535B081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4">
    <w:nsid w:val="05217989"/>
    <w:multiLevelType w:val="singleLevel"/>
    <w:tmpl w:val="05217989"/>
    <w:lvl w:ilvl="0" w:tentative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5">
    <w:nsid w:val="2821ECFC"/>
    <w:multiLevelType w:val="singleLevel"/>
    <w:tmpl w:val="2821ECF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6">
    <w:nsid w:val="556C613F"/>
    <w:multiLevelType w:val="singleLevel"/>
    <w:tmpl w:val="556C613F"/>
    <w:lvl w:ilvl="0" w:tentative="0">
      <w:start w:val="1"/>
      <w:numFmt w:val="chineseCounting"/>
      <w:suff w:val="nothing"/>
      <w:lvlText w:val="（%1）"/>
      <w:lvlJc w:val="left"/>
      <w:pPr>
        <w:ind w:left="525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6"/>
    <w:rsid w:val="00106366"/>
    <w:rsid w:val="002E5B77"/>
    <w:rsid w:val="0034012D"/>
    <w:rsid w:val="003834D3"/>
    <w:rsid w:val="00474BD6"/>
    <w:rsid w:val="00511EB8"/>
    <w:rsid w:val="00566CF1"/>
    <w:rsid w:val="00915F5A"/>
    <w:rsid w:val="00B756E2"/>
    <w:rsid w:val="00B85B8C"/>
    <w:rsid w:val="00BA2A66"/>
    <w:rsid w:val="00BF2F19"/>
    <w:rsid w:val="00C203EC"/>
    <w:rsid w:val="00C63966"/>
    <w:rsid w:val="00D25E99"/>
    <w:rsid w:val="00E246A6"/>
    <w:rsid w:val="00E40B72"/>
    <w:rsid w:val="00E8494A"/>
    <w:rsid w:val="00FB3A80"/>
    <w:rsid w:val="00FC0A72"/>
    <w:rsid w:val="00FE7FB7"/>
    <w:rsid w:val="022B4C58"/>
    <w:rsid w:val="086001E4"/>
    <w:rsid w:val="0951572D"/>
    <w:rsid w:val="0CE76122"/>
    <w:rsid w:val="138734F3"/>
    <w:rsid w:val="17432CF8"/>
    <w:rsid w:val="1B271681"/>
    <w:rsid w:val="26BF493E"/>
    <w:rsid w:val="26E532F9"/>
    <w:rsid w:val="26FF459A"/>
    <w:rsid w:val="2BA611BB"/>
    <w:rsid w:val="2D4B6951"/>
    <w:rsid w:val="35F56A22"/>
    <w:rsid w:val="459C4734"/>
    <w:rsid w:val="4A15324B"/>
    <w:rsid w:val="4A2F4799"/>
    <w:rsid w:val="4CAA2A7D"/>
    <w:rsid w:val="55137F22"/>
    <w:rsid w:val="59C42C6E"/>
    <w:rsid w:val="5E1F5680"/>
    <w:rsid w:val="6D953DE1"/>
    <w:rsid w:val="70E91019"/>
    <w:rsid w:val="793B7495"/>
    <w:rsid w:val="7DC5400D"/>
    <w:rsid w:val="7E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9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</Words>
  <Characters>1714</Characters>
  <Lines>14</Lines>
  <Paragraphs>4</Paragraphs>
  <TotalTime>2</TotalTime>
  <ScaleCrop>false</ScaleCrop>
  <LinksUpToDate>false</LinksUpToDate>
  <CharactersWithSpaces>2010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2019-08-01T07:13:00Z</dcterms:created>
  <dc:creator>徐成春</dc:creator>
  <cp:lastModifiedBy>行政审批</cp:lastModifiedBy>
  <dcterms:modified xsi:type="dcterms:W3CDTF">2020-05-27T02:23:09Z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