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方正小标宋简体" w:hAnsi="方正小标宋简体" w:eastAsia="方正小标宋简体" w:cs="方正小标宋简体"/>
          <w:sz w:val="44"/>
          <w:szCs w:val="44"/>
        </w:rPr>
        <w:t>涉农补贴领域基层政务公开标准目录</w:t>
      </w:r>
      <w:bookmarkStart w:id="0" w:name="_GoBack"/>
      <w:bookmarkEnd w:id="0"/>
    </w:p>
    <w:tbl>
      <w:tblPr>
        <w:tblStyle w:val="5"/>
        <w:tblW w:w="13596" w:type="dxa"/>
        <w:tblInd w:w="-41" w:type="dxa"/>
        <w:tblLayout w:type="autofit"/>
        <w:tblCellMar>
          <w:top w:w="100" w:type="dxa"/>
          <w:left w:w="38" w:type="dxa"/>
          <w:bottom w:w="0" w:type="dxa"/>
          <w:right w:w="29" w:type="dxa"/>
        </w:tblCellMar>
      </w:tblPr>
      <w:tblGrid>
        <w:gridCol w:w="385"/>
        <w:gridCol w:w="593"/>
        <w:gridCol w:w="569"/>
        <w:gridCol w:w="1999"/>
        <w:gridCol w:w="3001"/>
        <w:gridCol w:w="1062"/>
        <w:gridCol w:w="1035"/>
        <w:gridCol w:w="1607"/>
        <w:gridCol w:w="557"/>
        <w:gridCol w:w="558"/>
        <w:gridCol w:w="557"/>
        <w:gridCol w:w="558"/>
        <w:gridCol w:w="557"/>
        <w:gridCol w:w="558"/>
      </w:tblGrid>
      <w:tr>
        <w:tblPrEx>
          <w:tblCellMar>
            <w:top w:w="100" w:type="dxa"/>
            <w:left w:w="38" w:type="dxa"/>
            <w:bottom w:w="0" w:type="dxa"/>
            <w:right w:w="29" w:type="dxa"/>
          </w:tblCellMar>
        </w:tblPrEx>
        <w:trPr>
          <w:trHeight w:val="616" w:hRule="atLeast"/>
        </w:trPr>
        <w:tc>
          <w:tcPr>
            <w:tcW w:w="385"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序号</w:t>
            </w:r>
          </w:p>
        </w:tc>
        <w:tc>
          <w:tcPr>
            <w:tcW w:w="1162" w:type="dxa"/>
            <w:gridSpan w:val="2"/>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190"/>
              <w:jc w:val="left"/>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公开事项</w:t>
            </w:r>
          </w:p>
        </w:tc>
        <w:tc>
          <w:tcPr>
            <w:tcW w:w="1999"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7"/>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公开内容</w:t>
            </w:r>
          </w:p>
          <w:p>
            <w:pPr>
              <w:widowControl/>
              <w:spacing w:after="0" w:line="240" w:lineRule="auto"/>
              <w:ind w:left="8"/>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(要素)</w:t>
            </w:r>
          </w:p>
        </w:tc>
        <w:tc>
          <w:tcPr>
            <w:tcW w:w="3001"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6"/>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公开依据</w:t>
            </w:r>
          </w:p>
        </w:tc>
        <w:tc>
          <w:tcPr>
            <w:tcW w:w="1062"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公开时限</w:t>
            </w:r>
          </w:p>
        </w:tc>
        <w:tc>
          <w:tcPr>
            <w:tcW w:w="1035"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公开主体</w:t>
            </w:r>
          </w:p>
        </w:tc>
        <w:tc>
          <w:tcPr>
            <w:tcW w:w="1607"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3"/>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公开渠道和载体</w:t>
            </w:r>
          </w:p>
        </w:tc>
        <w:tc>
          <w:tcPr>
            <w:tcW w:w="1115" w:type="dxa"/>
            <w:gridSpan w:val="2"/>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166"/>
              <w:jc w:val="both"/>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公开对象</w:t>
            </w:r>
          </w:p>
        </w:tc>
        <w:tc>
          <w:tcPr>
            <w:tcW w:w="1115" w:type="dxa"/>
            <w:gridSpan w:val="2"/>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166"/>
              <w:jc w:val="both"/>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公开方式</w:t>
            </w:r>
          </w:p>
        </w:tc>
        <w:tc>
          <w:tcPr>
            <w:tcW w:w="1115" w:type="dxa"/>
            <w:gridSpan w:val="2"/>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166"/>
              <w:jc w:val="both"/>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公开层级</w:t>
            </w:r>
          </w:p>
        </w:tc>
      </w:tr>
      <w:tr>
        <w:tblPrEx>
          <w:tblCellMar>
            <w:top w:w="100" w:type="dxa"/>
            <w:left w:w="38" w:type="dxa"/>
            <w:bottom w:w="0" w:type="dxa"/>
            <w:right w:w="29" w:type="dxa"/>
          </w:tblCellMar>
        </w:tblPrEx>
        <w:trPr>
          <w:trHeight w:val="740" w:hRule="atLeast"/>
        </w:trPr>
        <w:tc>
          <w:tcPr>
            <w:tcW w:w="0" w:type="auto"/>
            <w:vMerge w:val="continue"/>
            <w:tcBorders>
              <w:top w:val="nil"/>
              <w:left w:val="single" w:color="000000" w:sz="8" w:space="0"/>
              <w:bottom w:val="single" w:color="000000" w:sz="8" w:space="0"/>
              <w:right w:val="single" w:color="000000" w:sz="8" w:space="0"/>
            </w:tcBorders>
          </w:tcPr>
          <w:p>
            <w:pPr>
              <w:widowControl/>
              <w:spacing w:after="0" w:line="240" w:lineRule="auto"/>
              <w:jc w:val="left"/>
              <w:rPr>
                <w:rFonts w:ascii="Calibri" w:hAnsi="Calibri" w:eastAsia="Calibri" w:cs="Calibri"/>
                <w:color w:val="000000"/>
                <w:kern w:val="0"/>
                <w:sz w:val="22"/>
                <w:szCs w:val="22"/>
                <w:lang w:eastAsia="en-US"/>
              </w:rPr>
            </w:pPr>
          </w:p>
        </w:tc>
        <w:tc>
          <w:tcPr>
            <w:tcW w:w="593" w:type="dxa"/>
            <w:tcBorders>
              <w:top w:val="single" w:color="000000" w:sz="8" w:space="0"/>
              <w:left w:val="single" w:color="000000" w:sz="8" w:space="0"/>
              <w:bottom w:val="single" w:color="000000" w:sz="8" w:space="0"/>
              <w:right w:val="single" w:color="000000" w:sz="8" w:space="0"/>
            </w:tcBorders>
          </w:tcPr>
          <w:p>
            <w:pPr>
              <w:widowControl/>
              <w:spacing w:after="0" w:line="240" w:lineRule="auto"/>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一级事项</w:t>
            </w:r>
          </w:p>
        </w:tc>
        <w:tc>
          <w:tcPr>
            <w:tcW w:w="569" w:type="dxa"/>
            <w:tcBorders>
              <w:top w:val="single" w:color="000000" w:sz="8" w:space="0"/>
              <w:left w:val="single" w:color="000000" w:sz="8" w:space="0"/>
              <w:bottom w:val="single" w:color="000000" w:sz="8" w:space="0"/>
              <w:right w:val="single" w:color="000000" w:sz="8" w:space="0"/>
            </w:tcBorders>
          </w:tcPr>
          <w:p>
            <w:pPr>
              <w:widowControl/>
              <w:spacing w:after="0" w:line="240" w:lineRule="auto"/>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二级事项</w:t>
            </w:r>
          </w:p>
        </w:tc>
        <w:tc>
          <w:tcPr>
            <w:tcW w:w="0" w:type="auto"/>
            <w:vMerge w:val="continue"/>
            <w:tcBorders>
              <w:top w:val="nil"/>
              <w:left w:val="single" w:color="000000" w:sz="8" w:space="0"/>
              <w:bottom w:val="single" w:color="000000" w:sz="8" w:space="0"/>
              <w:right w:val="single" w:color="000000" w:sz="8" w:space="0"/>
            </w:tcBorders>
          </w:tcPr>
          <w:p>
            <w:pPr>
              <w:widowControl/>
              <w:spacing w:after="0" w:line="240" w:lineRule="auto"/>
              <w:jc w:val="left"/>
              <w:rPr>
                <w:rFonts w:ascii="Calibri" w:hAnsi="Calibri" w:eastAsia="Calibri" w:cs="Calibri"/>
                <w:color w:val="000000"/>
                <w:kern w:val="0"/>
                <w:sz w:val="22"/>
                <w:szCs w:val="22"/>
                <w:lang w:eastAsia="en-US"/>
              </w:rPr>
            </w:pPr>
          </w:p>
        </w:tc>
        <w:tc>
          <w:tcPr>
            <w:tcW w:w="3001" w:type="dxa"/>
            <w:vMerge w:val="continue"/>
            <w:tcBorders>
              <w:top w:val="nil"/>
              <w:left w:val="single" w:color="000000" w:sz="8" w:space="0"/>
              <w:bottom w:val="single" w:color="000000" w:sz="8" w:space="0"/>
              <w:right w:val="single" w:color="000000" w:sz="8" w:space="0"/>
            </w:tcBorders>
            <w:vAlign w:val="center"/>
          </w:tcPr>
          <w:p>
            <w:pPr>
              <w:widowControl/>
              <w:spacing w:after="0" w:line="240" w:lineRule="auto"/>
              <w:jc w:val="left"/>
              <w:rPr>
                <w:rFonts w:ascii="Calibri" w:hAnsi="Calibri" w:eastAsia="Calibri" w:cs="Calibri"/>
                <w:color w:val="000000"/>
                <w:kern w:val="0"/>
                <w:sz w:val="22"/>
                <w:szCs w:val="22"/>
                <w:lang w:eastAsia="en-US"/>
              </w:rPr>
            </w:pPr>
          </w:p>
        </w:tc>
        <w:tc>
          <w:tcPr>
            <w:tcW w:w="1062" w:type="dxa"/>
            <w:vMerge w:val="continue"/>
            <w:tcBorders>
              <w:top w:val="nil"/>
              <w:left w:val="single" w:color="000000" w:sz="8" w:space="0"/>
              <w:bottom w:val="single" w:color="000000" w:sz="8" w:space="0"/>
              <w:right w:val="single" w:color="000000" w:sz="8" w:space="0"/>
            </w:tcBorders>
          </w:tcPr>
          <w:p>
            <w:pPr>
              <w:widowControl/>
              <w:spacing w:after="0" w:line="240" w:lineRule="auto"/>
              <w:jc w:val="left"/>
              <w:rPr>
                <w:rFonts w:ascii="Calibri" w:hAnsi="Calibri" w:eastAsia="Calibri" w:cs="Calibri"/>
                <w:color w:val="000000"/>
                <w:kern w:val="0"/>
                <w:sz w:val="22"/>
                <w:szCs w:val="22"/>
                <w:lang w:eastAsia="en-US"/>
              </w:rPr>
            </w:pPr>
          </w:p>
        </w:tc>
        <w:tc>
          <w:tcPr>
            <w:tcW w:w="1035" w:type="dxa"/>
            <w:vMerge w:val="continue"/>
            <w:tcBorders>
              <w:top w:val="nil"/>
              <w:left w:val="single" w:color="000000" w:sz="8" w:space="0"/>
              <w:bottom w:val="single" w:color="000000" w:sz="8" w:space="0"/>
              <w:right w:val="single" w:color="000000" w:sz="8" w:space="0"/>
            </w:tcBorders>
          </w:tcPr>
          <w:p>
            <w:pPr>
              <w:widowControl/>
              <w:spacing w:after="0" w:line="240" w:lineRule="auto"/>
              <w:jc w:val="left"/>
              <w:rPr>
                <w:rFonts w:ascii="Calibri" w:hAnsi="Calibri" w:eastAsia="Calibri" w:cs="Calibri"/>
                <w:color w:val="000000"/>
                <w:kern w:val="0"/>
                <w:sz w:val="22"/>
                <w:szCs w:val="22"/>
                <w:lang w:eastAsia="en-US"/>
              </w:rPr>
            </w:pPr>
          </w:p>
        </w:tc>
        <w:tc>
          <w:tcPr>
            <w:tcW w:w="1607" w:type="dxa"/>
            <w:vMerge w:val="continue"/>
            <w:tcBorders>
              <w:top w:val="nil"/>
              <w:left w:val="single" w:color="000000" w:sz="8" w:space="0"/>
              <w:bottom w:val="single" w:color="000000" w:sz="8" w:space="0"/>
              <w:right w:val="single" w:color="000000" w:sz="8" w:space="0"/>
            </w:tcBorders>
          </w:tcPr>
          <w:p>
            <w:pPr>
              <w:widowControl/>
              <w:spacing w:after="0" w:line="240" w:lineRule="auto"/>
              <w:jc w:val="left"/>
              <w:rPr>
                <w:rFonts w:ascii="Calibri" w:hAnsi="Calibri" w:eastAsia="Calibri" w:cs="Calibri"/>
                <w:color w:val="000000"/>
                <w:kern w:val="0"/>
                <w:sz w:val="22"/>
                <w:szCs w:val="22"/>
                <w:lang w:eastAsia="en-US"/>
              </w:rPr>
            </w:pPr>
          </w:p>
        </w:tc>
        <w:tc>
          <w:tcPr>
            <w:tcW w:w="557" w:type="dxa"/>
            <w:tcBorders>
              <w:top w:val="single" w:color="000000" w:sz="8" w:space="0"/>
              <w:left w:val="single" w:color="000000" w:sz="8" w:space="0"/>
              <w:bottom w:val="single" w:color="000000" w:sz="8" w:space="0"/>
              <w:right w:val="single" w:color="000000" w:sz="8" w:space="0"/>
            </w:tcBorders>
          </w:tcPr>
          <w:p>
            <w:pPr>
              <w:widowControl/>
              <w:spacing w:after="0" w:line="240" w:lineRule="auto"/>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全社会</w:t>
            </w:r>
          </w:p>
        </w:tc>
        <w:tc>
          <w:tcPr>
            <w:tcW w:w="558" w:type="dxa"/>
            <w:tcBorders>
              <w:top w:val="single" w:color="000000" w:sz="8" w:space="0"/>
              <w:left w:val="single" w:color="000000" w:sz="8" w:space="0"/>
              <w:bottom w:val="single" w:color="000000" w:sz="8" w:space="0"/>
              <w:right w:val="single" w:color="000000" w:sz="8" w:space="0"/>
            </w:tcBorders>
          </w:tcPr>
          <w:p>
            <w:pPr>
              <w:widowControl/>
              <w:spacing w:after="0" w:line="240" w:lineRule="auto"/>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特定群体</w:t>
            </w:r>
          </w:p>
        </w:tc>
        <w:tc>
          <w:tcPr>
            <w:tcW w:w="557" w:type="dxa"/>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68"/>
              <w:jc w:val="both"/>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主动</w:t>
            </w:r>
          </w:p>
        </w:tc>
        <w:tc>
          <w:tcPr>
            <w:tcW w:w="558" w:type="dxa"/>
            <w:tcBorders>
              <w:top w:val="single" w:color="000000" w:sz="8" w:space="0"/>
              <w:left w:val="single" w:color="000000" w:sz="8" w:space="0"/>
              <w:bottom w:val="single" w:color="000000" w:sz="8" w:space="0"/>
              <w:right w:val="single" w:color="000000" w:sz="8" w:space="0"/>
            </w:tcBorders>
          </w:tcPr>
          <w:p>
            <w:pPr>
              <w:widowControl/>
              <w:spacing w:after="0" w:line="240" w:lineRule="auto"/>
              <w:jc w:val="center"/>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依申请</w:t>
            </w:r>
          </w:p>
        </w:tc>
        <w:tc>
          <w:tcPr>
            <w:tcW w:w="557" w:type="dxa"/>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68"/>
              <w:jc w:val="both"/>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县级</w:t>
            </w:r>
          </w:p>
        </w:tc>
        <w:tc>
          <w:tcPr>
            <w:tcW w:w="558" w:type="dxa"/>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68"/>
              <w:jc w:val="both"/>
              <w:rPr>
                <w:rFonts w:ascii="Calibri" w:hAnsi="Calibri" w:eastAsia="Calibri" w:cs="Calibri"/>
                <w:color w:val="000000"/>
                <w:kern w:val="0"/>
                <w:sz w:val="22"/>
                <w:szCs w:val="22"/>
                <w:lang w:eastAsia="en-US"/>
              </w:rPr>
            </w:pPr>
            <w:r>
              <w:rPr>
                <w:rFonts w:ascii="微软雅黑" w:hAnsi="微软雅黑" w:eastAsia="微软雅黑" w:cs="微软雅黑"/>
                <w:color w:val="000000"/>
                <w:kern w:val="0"/>
                <w:sz w:val="22"/>
                <w:szCs w:val="22"/>
                <w:lang w:eastAsia="en-US"/>
              </w:rPr>
              <w:t>乡级</w:t>
            </w:r>
          </w:p>
        </w:tc>
      </w:tr>
      <w:tr>
        <w:tblPrEx>
          <w:tblCellMar>
            <w:top w:w="100" w:type="dxa"/>
            <w:left w:w="38" w:type="dxa"/>
            <w:bottom w:w="0" w:type="dxa"/>
            <w:right w:w="29" w:type="dxa"/>
          </w:tblCellMar>
        </w:tblPrEx>
        <w:trPr>
          <w:trHeight w:val="4912" w:hRule="atLeast"/>
        </w:trPr>
        <w:tc>
          <w:tcPr>
            <w:tcW w:w="3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400" w:lineRule="exact"/>
              <w:ind w:left="137"/>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1</w:t>
            </w:r>
          </w:p>
        </w:tc>
        <w:tc>
          <w:tcPr>
            <w:tcW w:w="59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农业生产发展资金</w:t>
            </w:r>
          </w:p>
        </w:tc>
        <w:tc>
          <w:tcPr>
            <w:tcW w:w="56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农机购置补贴</w:t>
            </w:r>
          </w:p>
        </w:tc>
        <w:tc>
          <w:tcPr>
            <w:tcW w:w="199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●政策依据；</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●申请指南：包括补贴对象、补贴范围、补贴标准、申请程序、申请材料、咨询电话、受理单位、办理时限、联系方式等；</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●补贴结果；</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●监督渠道：包括举报电话、地址等。</w:t>
            </w:r>
          </w:p>
        </w:tc>
        <w:tc>
          <w:tcPr>
            <w:tcW w:w="300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《中华人民共和国农业机械化促进法》（中华人民共和国主席令 第十六号）、</w:t>
            </w:r>
            <w:r>
              <w:rPr>
                <w:rFonts w:hint="default" w:ascii="Times New Roman" w:hAnsi="Times New Roman" w:eastAsia="仿宋_GB2312" w:cs="Times New Roman"/>
              </w:rPr>
              <w:t>《财政部 农业农村部关于修订农业相关转移支付资金管理办法的通知》（财农〔2022〕25号）</w:t>
            </w:r>
            <w:r>
              <w:rPr>
                <w:rFonts w:hint="default" w:ascii="Times New Roman" w:hAnsi="Times New Roman" w:eastAsia="仿宋_GB2312" w:cs="Times New Roman"/>
                <w:lang w:eastAsia="zh-CN"/>
              </w:rPr>
              <w:t>、</w:t>
            </w:r>
            <w:r>
              <w:rPr>
                <w:rFonts w:hint="default" w:ascii="Times New Roman" w:hAnsi="Times New Roman" w:eastAsia="仿宋_GB2312" w:cs="Times New Roman"/>
                <w:color w:val="000000"/>
                <w:kern w:val="0"/>
                <w:sz w:val="21"/>
                <w:szCs w:val="21"/>
                <w:lang w:eastAsia="en-US"/>
              </w:rPr>
              <w:t>《2021—2023年农机购置补贴实施指导意见》（农办计财〔2021〕8号）、</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河南省2021-2023年农机购置补贴实施指导意见</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（豫农文〔2021〕185号）、</w:t>
            </w:r>
            <w:r>
              <w:rPr>
                <w:rFonts w:hint="default" w:ascii="Times New Roman" w:hAnsi="Times New Roman" w:eastAsia="仿宋_GB2312" w:cs="Times New Roman"/>
                <w:color w:val="000000"/>
                <w:kern w:val="0"/>
                <w:sz w:val="21"/>
                <w:szCs w:val="21"/>
                <w:lang w:eastAsia="en-US"/>
              </w:rPr>
              <w:t>《周口市2021—2023年农机购置补贴实施指导意见》</w:t>
            </w:r>
            <w:r>
              <w:rPr>
                <w:rFonts w:hint="default" w:ascii="Times New Roman" w:hAnsi="Times New Roman" w:eastAsia="仿宋_GB2312" w:cs="Times New Roman"/>
                <w:color w:val="000000"/>
                <w:kern w:val="0"/>
                <w:sz w:val="21"/>
                <w:szCs w:val="21"/>
                <w:lang w:eastAsia="zh-CN"/>
              </w:rPr>
              <w:t>（周农办〔2021〕98号）</w:t>
            </w:r>
            <w:r>
              <w:rPr>
                <w:rFonts w:hint="default" w:ascii="Times New Roman" w:hAnsi="Times New Roman" w:eastAsia="仿宋_GB2312" w:cs="Times New Roman"/>
                <w:color w:val="000000"/>
                <w:kern w:val="0"/>
                <w:sz w:val="21"/>
                <w:szCs w:val="21"/>
                <w:lang w:eastAsia="en-US"/>
              </w:rPr>
              <w:t>。</w:t>
            </w:r>
          </w:p>
        </w:tc>
        <w:tc>
          <w:tcPr>
            <w:tcW w:w="1062"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自政府信息形成或者变更之日起20个工作日内。法律、法规对政府信息公开的期限另有规定的，</w:t>
            </w:r>
          </w:p>
          <w:p>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从其规定</w:t>
            </w:r>
          </w:p>
        </w:tc>
        <w:tc>
          <w:tcPr>
            <w:tcW w:w="1035" w:type="dxa"/>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jc w:val="center"/>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县级农业农村部门</w:t>
            </w:r>
          </w:p>
        </w:tc>
        <w:tc>
          <w:tcPr>
            <w:tcW w:w="1607" w:type="dxa"/>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jc w:val="both"/>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en-US"/>
              </w:rPr>
              <w:t>■政府网</w:t>
            </w:r>
            <w:r>
              <w:rPr>
                <w:rFonts w:hint="default" w:ascii="Times New Roman" w:hAnsi="Times New Roman" w:eastAsia="仿宋_GB2312" w:cs="Times New Roman"/>
                <w:color w:val="000000"/>
                <w:kern w:val="0"/>
                <w:sz w:val="21"/>
                <w:szCs w:val="21"/>
                <w:lang w:eastAsia="zh-CN"/>
              </w:rPr>
              <w:t>站</w:t>
            </w:r>
          </w:p>
        </w:tc>
        <w:tc>
          <w:tcPr>
            <w:tcW w:w="557" w:type="dxa"/>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178"/>
              <w:jc w:val="both"/>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58" w:type="dxa"/>
            <w:tcBorders>
              <w:top w:val="single" w:color="000000" w:sz="8" w:space="0"/>
              <w:left w:val="single" w:color="000000" w:sz="8" w:space="0"/>
              <w:bottom w:val="single" w:color="000000" w:sz="8" w:space="0"/>
              <w:right w:val="single" w:color="000000" w:sz="8" w:space="0"/>
            </w:tcBorders>
          </w:tcPr>
          <w:p>
            <w:pPr>
              <w:widowControl/>
              <w:spacing w:after="0" w:line="240" w:lineRule="auto"/>
              <w:jc w:val="left"/>
              <w:rPr>
                <w:rFonts w:hint="default" w:ascii="Times New Roman" w:hAnsi="Times New Roman" w:eastAsia="仿宋_GB2312" w:cs="Times New Roman"/>
                <w:color w:val="000000"/>
                <w:kern w:val="0"/>
                <w:sz w:val="21"/>
                <w:szCs w:val="21"/>
                <w:lang w:eastAsia="en-US"/>
              </w:rPr>
            </w:pPr>
          </w:p>
        </w:tc>
        <w:tc>
          <w:tcPr>
            <w:tcW w:w="557" w:type="dxa"/>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178"/>
              <w:jc w:val="both"/>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58" w:type="dxa"/>
            <w:tcBorders>
              <w:top w:val="single" w:color="000000" w:sz="8" w:space="0"/>
              <w:left w:val="single" w:color="000000" w:sz="8" w:space="0"/>
              <w:bottom w:val="single" w:color="000000" w:sz="8" w:space="0"/>
              <w:right w:val="single" w:color="000000" w:sz="8" w:space="0"/>
            </w:tcBorders>
          </w:tcPr>
          <w:p>
            <w:pPr>
              <w:widowControl/>
              <w:spacing w:after="0" w:line="240" w:lineRule="auto"/>
              <w:jc w:val="left"/>
              <w:rPr>
                <w:rFonts w:hint="default" w:ascii="Times New Roman" w:hAnsi="Times New Roman" w:eastAsia="仿宋_GB2312" w:cs="Times New Roman"/>
                <w:color w:val="000000"/>
                <w:kern w:val="0"/>
                <w:sz w:val="21"/>
                <w:szCs w:val="21"/>
                <w:lang w:eastAsia="en-US"/>
              </w:rPr>
            </w:pPr>
          </w:p>
        </w:tc>
        <w:tc>
          <w:tcPr>
            <w:tcW w:w="557" w:type="dxa"/>
            <w:tcBorders>
              <w:top w:val="single" w:color="000000" w:sz="8" w:space="0"/>
              <w:left w:val="single" w:color="000000" w:sz="8" w:space="0"/>
              <w:bottom w:val="single" w:color="000000" w:sz="8" w:space="0"/>
              <w:right w:val="single" w:color="000000" w:sz="8" w:space="0"/>
            </w:tcBorders>
            <w:vAlign w:val="center"/>
          </w:tcPr>
          <w:p>
            <w:pPr>
              <w:widowControl/>
              <w:spacing w:after="0" w:line="240" w:lineRule="auto"/>
              <w:ind w:left="178"/>
              <w:jc w:val="both"/>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58" w:type="dxa"/>
            <w:tcBorders>
              <w:top w:val="single" w:color="000000" w:sz="8" w:space="0"/>
              <w:left w:val="single" w:color="000000" w:sz="8" w:space="0"/>
              <w:bottom w:val="single" w:color="000000" w:sz="8" w:space="0"/>
              <w:right w:val="single" w:color="000000" w:sz="8" w:space="0"/>
            </w:tcBorders>
          </w:tcPr>
          <w:p>
            <w:pPr>
              <w:widowControl/>
              <w:spacing w:after="0" w:line="240" w:lineRule="auto"/>
              <w:jc w:val="left"/>
              <w:rPr>
                <w:rFonts w:hint="default" w:ascii="Times New Roman" w:hAnsi="Times New Roman" w:eastAsia="仿宋_GB2312" w:cs="Times New Roman"/>
                <w:color w:val="000000"/>
                <w:kern w:val="0"/>
                <w:sz w:val="21"/>
                <w:szCs w:val="21"/>
                <w:lang w:eastAsia="en-US"/>
              </w:rPr>
            </w:pPr>
          </w:p>
        </w:tc>
      </w:tr>
    </w:tbl>
    <w:p>
      <w:pPr>
        <w:rPr>
          <w:rFonts w:hint="eastAsia"/>
        </w:rPr>
      </w:pPr>
    </w:p>
    <w:p>
      <w:pPr>
        <w:rPr>
          <w:rFonts w:hint="eastAsia"/>
        </w:rPr>
      </w:pPr>
    </w:p>
    <w:tbl>
      <w:tblPr>
        <w:tblStyle w:val="5"/>
        <w:tblW w:w="13756" w:type="dxa"/>
        <w:tblInd w:w="-41" w:type="dxa"/>
        <w:tblLayout w:type="autofit"/>
        <w:tblCellMar>
          <w:top w:w="100" w:type="dxa"/>
          <w:left w:w="38" w:type="dxa"/>
          <w:bottom w:w="0" w:type="dxa"/>
          <w:right w:w="29" w:type="dxa"/>
        </w:tblCellMar>
      </w:tblPr>
      <w:tblGrid>
        <w:gridCol w:w="392"/>
        <w:gridCol w:w="600"/>
        <w:gridCol w:w="575"/>
        <w:gridCol w:w="2021"/>
        <w:gridCol w:w="2742"/>
        <w:gridCol w:w="808"/>
        <w:gridCol w:w="613"/>
        <w:gridCol w:w="2621"/>
        <w:gridCol w:w="563"/>
        <w:gridCol w:w="565"/>
        <w:gridCol w:w="563"/>
        <w:gridCol w:w="565"/>
        <w:gridCol w:w="563"/>
        <w:gridCol w:w="565"/>
      </w:tblGrid>
      <w:tr>
        <w:tblPrEx>
          <w:tblCellMar>
            <w:top w:w="100" w:type="dxa"/>
            <w:left w:w="38" w:type="dxa"/>
            <w:bottom w:w="0" w:type="dxa"/>
            <w:right w:w="29" w:type="dxa"/>
          </w:tblCellMar>
        </w:tblPrEx>
        <w:trPr>
          <w:trHeight w:val="667" w:hRule="atLeast"/>
        </w:trPr>
        <w:tc>
          <w:tcPr>
            <w:tcW w:w="392"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序号</w:t>
            </w:r>
          </w:p>
        </w:tc>
        <w:tc>
          <w:tcPr>
            <w:tcW w:w="1175"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90"/>
            </w:pPr>
            <w:r>
              <w:rPr>
                <w:rFonts w:ascii="微软雅黑" w:hAnsi="微软雅黑" w:eastAsia="微软雅黑" w:cs="微软雅黑"/>
              </w:rPr>
              <w:t>公开事项</w:t>
            </w:r>
          </w:p>
        </w:tc>
        <w:tc>
          <w:tcPr>
            <w:tcW w:w="2021"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7"/>
              <w:jc w:val="center"/>
            </w:pPr>
            <w:r>
              <w:rPr>
                <w:rFonts w:ascii="微软雅黑" w:hAnsi="微软雅黑" w:eastAsia="微软雅黑" w:cs="微软雅黑"/>
              </w:rPr>
              <w:t>公开内容</w:t>
            </w:r>
          </w:p>
          <w:p>
            <w:pPr>
              <w:spacing w:after="0" w:line="240" w:lineRule="auto"/>
              <w:ind w:left="8"/>
              <w:jc w:val="center"/>
            </w:pPr>
            <w:r>
              <w:rPr>
                <w:rFonts w:ascii="微软雅黑" w:hAnsi="微软雅黑" w:eastAsia="微软雅黑" w:cs="微软雅黑"/>
              </w:rPr>
              <w:t>(要素)</w:t>
            </w:r>
          </w:p>
        </w:tc>
        <w:tc>
          <w:tcPr>
            <w:tcW w:w="2742"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
              <w:jc w:val="center"/>
            </w:pPr>
            <w:r>
              <w:rPr>
                <w:rFonts w:ascii="微软雅黑" w:hAnsi="微软雅黑" w:eastAsia="微软雅黑" w:cs="微软雅黑"/>
              </w:rPr>
              <w:t>公开依据</w:t>
            </w:r>
          </w:p>
        </w:tc>
        <w:tc>
          <w:tcPr>
            <w:tcW w:w="808"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公开时限</w:t>
            </w:r>
          </w:p>
        </w:tc>
        <w:tc>
          <w:tcPr>
            <w:tcW w:w="613"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公开主体</w:t>
            </w:r>
          </w:p>
        </w:tc>
        <w:tc>
          <w:tcPr>
            <w:tcW w:w="2621"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3"/>
              <w:jc w:val="center"/>
            </w:pPr>
            <w:r>
              <w:rPr>
                <w:rFonts w:ascii="微软雅黑" w:hAnsi="微软雅黑" w:eastAsia="微软雅黑" w:cs="微软雅黑"/>
              </w:rPr>
              <w:t>公开渠道和载体</w:t>
            </w:r>
          </w:p>
        </w:tc>
        <w:tc>
          <w:tcPr>
            <w:tcW w:w="1128"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公开对象</w:t>
            </w:r>
          </w:p>
        </w:tc>
        <w:tc>
          <w:tcPr>
            <w:tcW w:w="1128"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公开方式</w:t>
            </w:r>
          </w:p>
        </w:tc>
        <w:tc>
          <w:tcPr>
            <w:tcW w:w="1128"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公开层级</w:t>
            </w:r>
          </w:p>
        </w:tc>
      </w:tr>
      <w:tr>
        <w:tblPrEx>
          <w:tblCellMar>
            <w:top w:w="100" w:type="dxa"/>
            <w:left w:w="38" w:type="dxa"/>
            <w:bottom w:w="0" w:type="dxa"/>
            <w:right w:w="29" w:type="dxa"/>
          </w:tblCellMar>
        </w:tblPrEx>
        <w:trPr>
          <w:trHeight w:val="788" w:hRule="atLeast"/>
        </w:trPr>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600"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一级事项</w:t>
            </w:r>
          </w:p>
        </w:tc>
        <w:tc>
          <w:tcPr>
            <w:tcW w:w="575"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二级事项</w:t>
            </w: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2742" w:type="dxa"/>
            <w:vMerge w:val="continue"/>
            <w:tcBorders>
              <w:top w:val="nil"/>
              <w:left w:val="single" w:color="000000" w:sz="8" w:space="0"/>
              <w:bottom w:val="single" w:color="000000" w:sz="8" w:space="0"/>
              <w:right w:val="single" w:color="000000" w:sz="8" w:space="0"/>
            </w:tcBorders>
          </w:tcPr>
          <w:p>
            <w:pPr>
              <w:spacing w:after="0" w:line="240" w:lineRule="auto"/>
            </w:pPr>
          </w:p>
        </w:tc>
        <w:tc>
          <w:tcPr>
            <w:tcW w:w="808" w:type="dxa"/>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563"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全社会</w:t>
            </w:r>
          </w:p>
        </w:tc>
        <w:tc>
          <w:tcPr>
            <w:tcW w:w="565"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特定群体</w:t>
            </w:r>
          </w:p>
        </w:tc>
        <w:tc>
          <w:tcPr>
            <w:tcW w:w="563"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主动</w:t>
            </w:r>
          </w:p>
        </w:tc>
        <w:tc>
          <w:tcPr>
            <w:tcW w:w="565"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依申请</w:t>
            </w:r>
          </w:p>
        </w:tc>
        <w:tc>
          <w:tcPr>
            <w:tcW w:w="563"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县级</w:t>
            </w:r>
          </w:p>
        </w:tc>
        <w:tc>
          <w:tcPr>
            <w:tcW w:w="565"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乡级</w:t>
            </w:r>
          </w:p>
        </w:tc>
      </w:tr>
      <w:tr>
        <w:tblPrEx>
          <w:tblCellMar>
            <w:top w:w="100" w:type="dxa"/>
            <w:left w:w="38" w:type="dxa"/>
            <w:bottom w:w="0" w:type="dxa"/>
            <w:right w:w="29" w:type="dxa"/>
          </w:tblCellMar>
        </w:tblPrEx>
        <w:trPr>
          <w:trHeight w:val="5266" w:hRule="atLeast"/>
        </w:trPr>
        <w:tc>
          <w:tcPr>
            <w:tcW w:w="392"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2</w:t>
            </w:r>
          </w:p>
        </w:tc>
        <w:tc>
          <w:tcPr>
            <w:tcW w:w="60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农业生产发展资金</w:t>
            </w:r>
          </w:p>
        </w:tc>
        <w:tc>
          <w:tcPr>
            <w:tcW w:w="57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耕地地力保护</w:t>
            </w:r>
          </w:p>
        </w:tc>
        <w:tc>
          <w:tcPr>
            <w:tcW w:w="202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政策依据；</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申请指南：包括补贴对象、补贴范围、补贴标准、咨询电话、受理单位、办理时限、联系方式等；</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补贴结果；</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监督渠道：包括举报电话、地址等。</w:t>
            </w:r>
          </w:p>
        </w:tc>
        <w:tc>
          <w:tcPr>
            <w:tcW w:w="2742"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eastAsia="en-US"/>
              </w:rPr>
              <w:t>财政部 农业农村部关于修订农业相关转移支付资金管理办法的通知</w:t>
            </w: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eastAsia="en-US"/>
              </w:rPr>
              <w:t>财农〔2022〕25号</w:t>
            </w: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eastAsia="zh-CN"/>
              </w:rPr>
              <w:t>、《耕地建设与利用资金管理办法》（财农〔2023〕12号）及</w:t>
            </w:r>
            <w:r>
              <w:rPr>
                <w:rFonts w:hint="eastAsia" w:ascii="Times New Roman" w:hAnsi="Times New Roman" w:eastAsia="仿宋_GB2312" w:cs="Times New Roman"/>
                <w:color w:val="000000"/>
                <w:kern w:val="0"/>
                <w:sz w:val="21"/>
                <w:szCs w:val="21"/>
                <w:lang w:eastAsia="en-US"/>
              </w:rPr>
              <w:t>河南省耕地地力保护补贴</w:t>
            </w:r>
            <w:r>
              <w:rPr>
                <w:rFonts w:hint="eastAsia" w:ascii="Times New Roman" w:hAnsi="Times New Roman" w:eastAsia="仿宋_GB2312" w:cs="Times New Roman"/>
                <w:color w:val="000000"/>
                <w:kern w:val="0"/>
                <w:sz w:val="21"/>
                <w:szCs w:val="21"/>
                <w:lang w:eastAsia="zh-CN"/>
              </w:rPr>
              <w:t>年度</w:t>
            </w:r>
            <w:r>
              <w:rPr>
                <w:rFonts w:hint="eastAsia" w:ascii="Times New Roman" w:hAnsi="Times New Roman" w:eastAsia="仿宋_GB2312" w:cs="Times New Roman"/>
                <w:color w:val="000000"/>
                <w:kern w:val="0"/>
                <w:sz w:val="21"/>
                <w:szCs w:val="21"/>
                <w:lang w:eastAsia="en-US"/>
              </w:rPr>
              <w:t>工作实施方案</w:t>
            </w:r>
          </w:p>
        </w:tc>
        <w:tc>
          <w:tcPr>
            <w:tcW w:w="80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自政府信息形成或者变更之日起20 个工作日内。法律、法规对政府信息公开的期限另有规定的，</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从其规定</w:t>
            </w:r>
          </w:p>
        </w:tc>
        <w:tc>
          <w:tcPr>
            <w:tcW w:w="61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县级农业农村部门</w:t>
            </w:r>
          </w:p>
        </w:tc>
        <w:tc>
          <w:tcPr>
            <w:tcW w:w="262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■政府网站</w:t>
            </w:r>
          </w:p>
        </w:tc>
        <w:tc>
          <w:tcPr>
            <w:tcW w:w="56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65"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c>
          <w:tcPr>
            <w:tcW w:w="56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65"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c>
          <w:tcPr>
            <w:tcW w:w="56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65"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r>
    </w:tbl>
    <w:p>
      <w:pPr>
        <w:rPr>
          <w:rFonts w:hint="eastAsia"/>
        </w:rPr>
      </w:pPr>
    </w:p>
    <w:p>
      <w:pPr>
        <w:rPr>
          <w:rFonts w:hint="eastAsia"/>
        </w:rPr>
      </w:pPr>
    </w:p>
    <w:p>
      <w:pPr>
        <w:rPr>
          <w:rFonts w:hint="eastAsia"/>
        </w:rPr>
      </w:pPr>
    </w:p>
    <w:tbl>
      <w:tblPr>
        <w:tblStyle w:val="5"/>
        <w:tblW w:w="14216" w:type="dxa"/>
        <w:tblInd w:w="-41" w:type="dxa"/>
        <w:tblLayout w:type="autofit"/>
        <w:tblCellMar>
          <w:top w:w="100" w:type="dxa"/>
          <w:left w:w="38" w:type="dxa"/>
          <w:bottom w:w="0" w:type="dxa"/>
          <w:right w:w="29" w:type="dxa"/>
        </w:tblCellMar>
      </w:tblPr>
      <w:tblGrid>
        <w:gridCol w:w="405"/>
        <w:gridCol w:w="620"/>
        <w:gridCol w:w="594"/>
        <w:gridCol w:w="2088"/>
        <w:gridCol w:w="2834"/>
        <w:gridCol w:w="836"/>
        <w:gridCol w:w="633"/>
        <w:gridCol w:w="2708"/>
        <w:gridCol w:w="583"/>
        <w:gridCol w:w="583"/>
        <w:gridCol w:w="583"/>
        <w:gridCol w:w="583"/>
        <w:gridCol w:w="583"/>
        <w:gridCol w:w="583"/>
      </w:tblGrid>
      <w:tr>
        <w:tblPrEx>
          <w:tblCellMar>
            <w:top w:w="100" w:type="dxa"/>
            <w:left w:w="38" w:type="dxa"/>
            <w:bottom w:w="0" w:type="dxa"/>
            <w:right w:w="29" w:type="dxa"/>
          </w:tblCellMar>
        </w:tblPrEx>
        <w:trPr>
          <w:trHeight w:val="627" w:hRule="atLeast"/>
        </w:trPr>
        <w:tc>
          <w:tcPr>
            <w:tcW w:w="405"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序号</w:t>
            </w:r>
          </w:p>
        </w:tc>
        <w:tc>
          <w:tcPr>
            <w:tcW w:w="1214"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90"/>
            </w:pPr>
            <w:r>
              <w:rPr>
                <w:rFonts w:ascii="微软雅黑" w:hAnsi="微软雅黑" w:eastAsia="微软雅黑" w:cs="微软雅黑"/>
              </w:rPr>
              <w:t>公开事项</w:t>
            </w:r>
          </w:p>
        </w:tc>
        <w:tc>
          <w:tcPr>
            <w:tcW w:w="2088"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7"/>
              <w:jc w:val="center"/>
            </w:pPr>
            <w:r>
              <w:rPr>
                <w:rFonts w:ascii="微软雅黑" w:hAnsi="微软雅黑" w:eastAsia="微软雅黑" w:cs="微软雅黑"/>
              </w:rPr>
              <w:t>公开内容</w:t>
            </w:r>
          </w:p>
          <w:p>
            <w:pPr>
              <w:spacing w:after="0" w:line="240" w:lineRule="auto"/>
              <w:ind w:left="8"/>
              <w:jc w:val="center"/>
            </w:pPr>
            <w:r>
              <w:rPr>
                <w:rFonts w:ascii="微软雅黑" w:hAnsi="微软雅黑" w:eastAsia="微软雅黑" w:cs="微软雅黑"/>
              </w:rPr>
              <w:t>(要素)</w:t>
            </w:r>
          </w:p>
        </w:tc>
        <w:tc>
          <w:tcPr>
            <w:tcW w:w="2834"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
              <w:jc w:val="center"/>
            </w:pPr>
            <w:r>
              <w:rPr>
                <w:rFonts w:ascii="微软雅黑" w:hAnsi="微软雅黑" w:eastAsia="微软雅黑" w:cs="微软雅黑"/>
              </w:rPr>
              <w:t>公开依据</w:t>
            </w:r>
          </w:p>
        </w:tc>
        <w:tc>
          <w:tcPr>
            <w:tcW w:w="836"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公开时限</w:t>
            </w:r>
          </w:p>
        </w:tc>
        <w:tc>
          <w:tcPr>
            <w:tcW w:w="633"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公开主体</w:t>
            </w:r>
          </w:p>
        </w:tc>
        <w:tc>
          <w:tcPr>
            <w:tcW w:w="2708"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3"/>
              <w:jc w:val="center"/>
            </w:pPr>
            <w:r>
              <w:rPr>
                <w:rFonts w:ascii="微软雅黑" w:hAnsi="微软雅黑" w:eastAsia="微软雅黑" w:cs="微软雅黑"/>
              </w:rPr>
              <w:t>公开渠道和载体</w:t>
            </w:r>
          </w:p>
        </w:tc>
        <w:tc>
          <w:tcPr>
            <w:tcW w:w="1166"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公开对象</w:t>
            </w:r>
          </w:p>
        </w:tc>
        <w:tc>
          <w:tcPr>
            <w:tcW w:w="1166"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公开方式</w:t>
            </w:r>
          </w:p>
        </w:tc>
        <w:tc>
          <w:tcPr>
            <w:tcW w:w="1166"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公开层级</w:t>
            </w:r>
          </w:p>
        </w:tc>
      </w:tr>
      <w:tr>
        <w:tblPrEx>
          <w:tblCellMar>
            <w:top w:w="100" w:type="dxa"/>
            <w:left w:w="38" w:type="dxa"/>
            <w:bottom w:w="0" w:type="dxa"/>
            <w:right w:w="29" w:type="dxa"/>
          </w:tblCellMar>
        </w:tblPrEx>
        <w:trPr>
          <w:trHeight w:val="741" w:hRule="atLeast"/>
        </w:trPr>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620"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一级事项</w:t>
            </w:r>
          </w:p>
        </w:tc>
        <w:tc>
          <w:tcPr>
            <w:tcW w:w="594"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二级事项</w:t>
            </w: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583"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全社会</w:t>
            </w:r>
          </w:p>
        </w:tc>
        <w:tc>
          <w:tcPr>
            <w:tcW w:w="583"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特定群体</w:t>
            </w:r>
          </w:p>
        </w:tc>
        <w:tc>
          <w:tcPr>
            <w:tcW w:w="583"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主动</w:t>
            </w:r>
          </w:p>
        </w:tc>
        <w:tc>
          <w:tcPr>
            <w:tcW w:w="583"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依申请</w:t>
            </w:r>
          </w:p>
        </w:tc>
        <w:tc>
          <w:tcPr>
            <w:tcW w:w="583"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县级</w:t>
            </w:r>
          </w:p>
        </w:tc>
        <w:tc>
          <w:tcPr>
            <w:tcW w:w="583"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乡级</w:t>
            </w:r>
          </w:p>
        </w:tc>
      </w:tr>
      <w:tr>
        <w:tblPrEx>
          <w:tblCellMar>
            <w:top w:w="100" w:type="dxa"/>
            <w:left w:w="38" w:type="dxa"/>
            <w:bottom w:w="0" w:type="dxa"/>
            <w:right w:w="29" w:type="dxa"/>
          </w:tblCellMar>
        </w:tblPrEx>
        <w:trPr>
          <w:trHeight w:val="4810" w:hRule="atLeast"/>
        </w:trPr>
        <w:tc>
          <w:tcPr>
            <w:tcW w:w="40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3</w:t>
            </w:r>
          </w:p>
        </w:tc>
        <w:tc>
          <w:tcPr>
            <w:tcW w:w="6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农业生产发展资金</w:t>
            </w:r>
          </w:p>
        </w:tc>
        <w:tc>
          <w:tcPr>
            <w:tcW w:w="59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新型职业农民培育</w:t>
            </w:r>
          </w:p>
        </w:tc>
        <w:tc>
          <w:tcPr>
            <w:tcW w:w="208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政策依据；</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申请指南：包括补贴对象、补贴范围、补贴标准、申请程序、申请材料、咨询电话、受理单位、办理时限、联系方式等；</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补贴结果；</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监督渠道：包括举报电话、地址等。</w:t>
            </w:r>
          </w:p>
        </w:tc>
        <w:tc>
          <w:tcPr>
            <w:tcW w:w="2834"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eastAsia="en-US"/>
              </w:rPr>
              <w:t>《中共中央办公厅、国务院办公厅关于引导农村土地经营权有序流转发展农业适度规模经营的意见》、《国务院办公厅关于支持返乡下乡人员创业创新促进农村一二三产业融合发展的意见》（国办发〔2016〕84号）、《</w:t>
            </w:r>
            <w:r>
              <w:rPr>
                <w:rFonts w:hint="eastAsia" w:ascii="Times New Roman" w:hAnsi="Times New Roman" w:eastAsia="仿宋_GB2312" w:cs="Times New Roman"/>
                <w:color w:val="000000"/>
                <w:kern w:val="0"/>
                <w:sz w:val="21"/>
                <w:szCs w:val="21"/>
                <w:lang w:eastAsia="en-US"/>
              </w:rPr>
              <w:t>财政部 农业农村部关于修订农业相关转移支付资金管理办法的通知</w:t>
            </w: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eastAsia="en-US"/>
              </w:rPr>
              <w:t>财农〔2022〕25号</w:t>
            </w: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eastAsia="zh-CN"/>
              </w:rPr>
              <w:t>及周口市</w:t>
            </w:r>
            <w:r>
              <w:rPr>
                <w:rFonts w:hint="eastAsia" w:ascii="Times New Roman" w:hAnsi="Times New Roman" w:eastAsia="仿宋_GB2312" w:cs="Times New Roman"/>
                <w:color w:val="000000"/>
                <w:kern w:val="0"/>
                <w:sz w:val="21"/>
                <w:szCs w:val="21"/>
                <w:lang w:val="en-US" w:eastAsia="zh-CN"/>
              </w:rPr>
              <w:t>高素质农民培育年度实施方案</w:t>
            </w:r>
          </w:p>
        </w:tc>
        <w:tc>
          <w:tcPr>
            <w:tcW w:w="83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自政府信息形成或者变更之日起20 个工作日内。法律、法规对政府信息公开的期限另有规定的，</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从其规定</w:t>
            </w:r>
          </w:p>
        </w:tc>
        <w:tc>
          <w:tcPr>
            <w:tcW w:w="63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县级农业农村部门</w:t>
            </w:r>
          </w:p>
        </w:tc>
        <w:tc>
          <w:tcPr>
            <w:tcW w:w="270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■政府网站</w:t>
            </w:r>
          </w:p>
        </w:tc>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83"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83"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83"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r>
    </w:tbl>
    <w:p>
      <w:pPr>
        <w:rPr>
          <w:rFonts w:hint="eastAsia"/>
        </w:rPr>
      </w:pPr>
    </w:p>
    <w:p>
      <w:pPr>
        <w:rPr>
          <w:rFonts w:hint="eastAsia"/>
        </w:rPr>
      </w:pPr>
    </w:p>
    <w:p>
      <w:pPr>
        <w:rPr>
          <w:rFonts w:hint="eastAsia"/>
        </w:rPr>
      </w:pPr>
    </w:p>
    <w:p>
      <w:pPr>
        <w:rPr>
          <w:rFonts w:hint="eastAsia"/>
        </w:rPr>
      </w:pPr>
    </w:p>
    <w:tbl>
      <w:tblPr>
        <w:tblStyle w:val="5"/>
        <w:tblW w:w="14277" w:type="dxa"/>
        <w:tblInd w:w="-41" w:type="dxa"/>
        <w:tblLayout w:type="autofit"/>
        <w:tblCellMar>
          <w:top w:w="100" w:type="dxa"/>
          <w:left w:w="38" w:type="dxa"/>
          <w:bottom w:w="0" w:type="dxa"/>
          <w:right w:w="29" w:type="dxa"/>
        </w:tblCellMar>
      </w:tblPr>
      <w:tblGrid>
        <w:gridCol w:w="406"/>
        <w:gridCol w:w="622"/>
        <w:gridCol w:w="598"/>
        <w:gridCol w:w="2097"/>
        <w:gridCol w:w="2846"/>
        <w:gridCol w:w="839"/>
        <w:gridCol w:w="636"/>
        <w:gridCol w:w="2720"/>
        <w:gridCol w:w="585"/>
        <w:gridCol w:w="586"/>
        <w:gridCol w:w="585"/>
        <w:gridCol w:w="586"/>
        <w:gridCol w:w="585"/>
        <w:gridCol w:w="586"/>
      </w:tblGrid>
      <w:tr>
        <w:tblPrEx>
          <w:tblCellMar>
            <w:top w:w="100" w:type="dxa"/>
            <w:left w:w="38" w:type="dxa"/>
            <w:bottom w:w="0" w:type="dxa"/>
            <w:right w:w="29" w:type="dxa"/>
          </w:tblCellMar>
        </w:tblPrEx>
        <w:trPr>
          <w:trHeight w:val="708" w:hRule="atLeast"/>
        </w:trPr>
        <w:tc>
          <w:tcPr>
            <w:tcW w:w="406"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序号</w:t>
            </w:r>
          </w:p>
        </w:tc>
        <w:tc>
          <w:tcPr>
            <w:tcW w:w="1220"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90"/>
            </w:pPr>
            <w:r>
              <w:rPr>
                <w:rFonts w:ascii="微软雅黑" w:hAnsi="微软雅黑" w:eastAsia="微软雅黑" w:cs="微软雅黑"/>
              </w:rPr>
              <w:t>公开事项</w:t>
            </w:r>
          </w:p>
        </w:tc>
        <w:tc>
          <w:tcPr>
            <w:tcW w:w="2097"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7"/>
              <w:jc w:val="center"/>
            </w:pPr>
            <w:r>
              <w:rPr>
                <w:rFonts w:ascii="微软雅黑" w:hAnsi="微软雅黑" w:eastAsia="微软雅黑" w:cs="微软雅黑"/>
              </w:rPr>
              <w:t>公开内容</w:t>
            </w:r>
          </w:p>
          <w:p>
            <w:pPr>
              <w:spacing w:after="0" w:line="240" w:lineRule="auto"/>
              <w:ind w:left="8"/>
              <w:jc w:val="center"/>
            </w:pPr>
            <w:r>
              <w:rPr>
                <w:rFonts w:ascii="微软雅黑" w:hAnsi="微软雅黑" w:eastAsia="微软雅黑" w:cs="微软雅黑"/>
              </w:rPr>
              <w:t>(要素)</w:t>
            </w:r>
          </w:p>
        </w:tc>
        <w:tc>
          <w:tcPr>
            <w:tcW w:w="2846"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
              <w:jc w:val="center"/>
            </w:pPr>
            <w:r>
              <w:rPr>
                <w:rFonts w:ascii="微软雅黑" w:hAnsi="微软雅黑" w:eastAsia="微软雅黑" w:cs="微软雅黑"/>
              </w:rPr>
              <w:t>公开依据</w:t>
            </w:r>
          </w:p>
        </w:tc>
        <w:tc>
          <w:tcPr>
            <w:tcW w:w="839"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公开时限</w:t>
            </w:r>
          </w:p>
        </w:tc>
        <w:tc>
          <w:tcPr>
            <w:tcW w:w="636"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公开主体</w:t>
            </w:r>
          </w:p>
        </w:tc>
        <w:tc>
          <w:tcPr>
            <w:tcW w:w="2720"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3"/>
              <w:jc w:val="center"/>
            </w:pPr>
            <w:r>
              <w:rPr>
                <w:rFonts w:ascii="微软雅黑" w:hAnsi="微软雅黑" w:eastAsia="微软雅黑" w:cs="微软雅黑"/>
              </w:rPr>
              <w:t>公开渠道和载体</w:t>
            </w:r>
          </w:p>
        </w:tc>
        <w:tc>
          <w:tcPr>
            <w:tcW w:w="1171"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公开对象</w:t>
            </w:r>
          </w:p>
        </w:tc>
        <w:tc>
          <w:tcPr>
            <w:tcW w:w="1171"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公开方式</w:t>
            </w:r>
          </w:p>
        </w:tc>
        <w:tc>
          <w:tcPr>
            <w:tcW w:w="1171"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公开层级</w:t>
            </w:r>
          </w:p>
        </w:tc>
      </w:tr>
      <w:tr>
        <w:tblPrEx>
          <w:tblCellMar>
            <w:top w:w="100" w:type="dxa"/>
            <w:left w:w="38" w:type="dxa"/>
            <w:bottom w:w="0" w:type="dxa"/>
            <w:right w:w="29" w:type="dxa"/>
          </w:tblCellMar>
        </w:tblPrEx>
        <w:trPr>
          <w:trHeight w:val="815" w:hRule="atLeast"/>
        </w:trPr>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622"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一级事项</w:t>
            </w:r>
          </w:p>
        </w:tc>
        <w:tc>
          <w:tcPr>
            <w:tcW w:w="598"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二级事项</w:t>
            </w:r>
          </w:p>
        </w:tc>
        <w:tc>
          <w:tcPr>
            <w:tcW w:w="0" w:type="auto"/>
            <w:vMerge w:val="continue"/>
            <w:tcBorders>
              <w:top w:val="nil"/>
              <w:left w:val="single" w:color="000000" w:sz="8" w:space="0"/>
              <w:bottom w:val="single" w:color="000000" w:sz="8" w:space="0"/>
              <w:right w:val="single" w:color="000000" w:sz="8" w:space="0"/>
            </w:tcBorders>
            <w:vAlign w:val="center"/>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585"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全社会</w:t>
            </w:r>
          </w:p>
        </w:tc>
        <w:tc>
          <w:tcPr>
            <w:tcW w:w="586"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特定群体</w:t>
            </w:r>
          </w:p>
        </w:tc>
        <w:tc>
          <w:tcPr>
            <w:tcW w:w="585"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主动</w:t>
            </w:r>
          </w:p>
        </w:tc>
        <w:tc>
          <w:tcPr>
            <w:tcW w:w="586"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依申请</w:t>
            </w:r>
          </w:p>
        </w:tc>
        <w:tc>
          <w:tcPr>
            <w:tcW w:w="585"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县级</w:t>
            </w:r>
          </w:p>
        </w:tc>
        <w:tc>
          <w:tcPr>
            <w:tcW w:w="586"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乡级</w:t>
            </w:r>
          </w:p>
        </w:tc>
      </w:tr>
      <w:tr>
        <w:tblPrEx>
          <w:tblCellMar>
            <w:top w:w="100" w:type="dxa"/>
            <w:left w:w="38" w:type="dxa"/>
            <w:bottom w:w="0" w:type="dxa"/>
            <w:right w:w="29" w:type="dxa"/>
          </w:tblCellMar>
        </w:tblPrEx>
        <w:trPr>
          <w:trHeight w:val="4648" w:hRule="atLeast"/>
        </w:trPr>
        <w:tc>
          <w:tcPr>
            <w:tcW w:w="40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4</w:t>
            </w:r>
          </w:p>
        </w:tc>
        <w:tc>
          <w:tcPr>
            <w:tcW w:w="622"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农业生产发展资金</w:t>
            </w:r>
          </w:p>
        </w:tc>
        <w:tc>
          <w:tcPr>
            <w:tcW w:w="59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支持新型农业经营主体</w:t>
            </w:r>
          </w:p>
        </w:tc>
        <w:tc>
          <w:tcPr>
            <w:tcW w:w="209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政策依据；</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申请指南：包括补贴对象、补贴范围、补贴标准、申请程序、申请材料、咨询电话、受理单位、办理时限、联系方式等；</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补贴结果；</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监督渠道：包括举报电话、地址等。</w:t>
            </w:r>
          </w:p>
        </w:tc>
        <w:tc>
          <w:tcPr>
            <w:tcW w:w="284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eastAsia="en-US"/>
              </w:rPr>
              <w:t>财政部 农业农村部关于修订农业相关转移支付资金管理办法的通知</w:t>
            </w: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eastAsia="en-US"/>
              </w:rPr>
              <w:t>财农〔2022〕25号</w:t>
            </w:r>
            <w:r>
              <w:rPr>
                <w:rFonts w:hint="default" w:ascii="Times New Roman" w:hAnsi="Times New Roman" w:eastAsia="仿宋_GB2312" w:cs="Times New Roman"/>
                <w:color w:val="000000"/>
                <w:kern w:val="0"/>
                <w:sz w:val="21"/>
                <w:szCs w:val="21"/>
                <w:lang w:eastAsia="en-US"/>
              </w:rPr>
              <w:t>）</w:t>
            </w:r>
          </w:p>
        </w:tc>
        <w:tc>
          <w:tcPr>
            <w:tcW w:w="83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自政府信息形成或者变更之日起20 个工作日内。法律、法规对政府信息公开的期限另有规定的，</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从其规定</w:t>
            </w:r>
          </w:p>
        </w:tc>
        <w:tc>
          <w:tcPr>
            <w:tcW w:w="636"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县级农业农村部门</w:t>
            </w:r>
          </w:p>
        </w:tc>
        <w:tc>
          <w:tcPr>
            <w:tcW w:w="27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■政府网站</w:t>
            </w:r>
          </w:p>
        </w:tc>
        <w:tc>
          <w:tcPr>
            <w:tcW w:w="5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86"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c>
          <w:tcPr>
            <w:tcW w:w="5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86"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c>
          <w:tcPr>
            <w:tcW w:w="58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86"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r>
    </w:tbl>
    <w:p>
      <w:pPr>
        <w:rPr>
          <w:rFonts w:hint="eastAsia"/>
        </w:rPr>
      </w:pPr>
    </w:p>
    <w:p>
      <w:pPr>
        <w:rPr>
          <w:rFonts w:hint="eastAsia"/>
        </w:rPr>
      </w:pPr>
    </w:p>
    <w:p>
      <w:pPr>
        <w:rPr>
          <w:rFonts w:hint="eastAsia"/>
        </w:rPr>
      </w:pPr>
    </w:p>
    <w:p>
      <w:pPr>
        <w:rPr>
          <w:rFonts w:hint="eastAsia"/>
        </w:rPr>
      </w:pPr>
    </w:p>
    <w:tbl>
      <w:tblPr>
        <w:tblStyle w:val="5"/>
        <w:tblW w:w="13952" w:type="dxa"/>
        <w:tblInd w:w="-41" w:type="dxa"/>
        <w:tblLayout w:type="autofit"/>
        <w:tblCellMar>
          <w:top w:w="100" w:type="dxa"/>
          <w:left w:w="38" w:type="dxa"/>
          <w:bottom w:w="0" w:type="dxa"/>
          <w:right w:w="29" w:type="dxa"/>
        </w:tblCellMar>
      </w:tblPr>
      <w:tblGrid>
        <w:gridCol w:w="397"/>
        <w:gridCol w:w="609"/>
        <w:gridCol w:w="583"/>
        <w:gridCol w:w="2050"/>
        <w:gridCol w:w="2782"/>
        <w:gridCol w:w="820"/>
        <w:gridCol w:w="621"/>
        <w:gridCol w:w="2658"/>
        <w:gridCol w:w="572"/>
        <w:gridCol w:w="572"/>
        <w:gridCol w:w="572"/>
        <w:gridCol w:w="572"/>
        <w:gridCol w:w="572"/>
        <w:gridCol w:w="572"/>
      </w:tblGrid>
      <w:tr>
        <w:tblPrEx>
          <w:tblCellMar>
            <w:top w:w="100" w:type="dxa"/>
            <w:left w:w="38" w:type="dxa"/>
            <w:bottom w:w="0" w:type="dxa"/>
            <w:right w:w="29" w:type="dxa"/>
          </w:tblCellMar>
        </w:tblPrEx>
        <w:trPr>
          <w:trHeight w:val="656" w:hRule="atLeast"/>
        </w:trPr>
        <w:tc>
          <w:tcPr>
            <w:tcW w:w="397"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序号</w:t>
            </w:r>
          </w:p>
        </w:tc>
        <w:tc>
          <w:tcPr>
            <w:tcW w:w="1192"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90"/>
            </w:pPr>
            <w:r>
              <w:rPr>
                <w:rFonts w:ascii="微软雅黑" w:hAnsi="微软雅黑" w:eastAsia="微软雅黑" w:cs="微软雅黑"/>
              </w:rPr>
              <w:t>公开事项</w:t>
            </w:r>
          </w:p>
        </w:tc>
        <w:tc>
          <w:tcPr>
            <w:tcW w:w="2050"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7"/>
              <w:jc w:val="center"/>
            </w:pPr>
            <w:r>
              <w:rPr>
                <w:rFonts w:ascii="微软雅黑" w:hAnsi="微软雅黑" w:eastAsia="微软雅黑" w:cs="微软雅黑"/>
              </w:rPr>
              <w:t>公开内容</w:t>
            </w:r>
          </w:p>
          <w:p>
            <w:pPr>
              <w:spacing w:after="0" w:line="240" w:lineRule="auto"/>
              <w:ind w:left="8"/>
              <w:jc w:val="center"/>
            </w:pPr>
            <w:r>
              <w:rPr>
                <w:rFonts w:ascii="微软雅黑" w:hAnsi="微软雅黑" w:eastAsia="微软雅黑" w:cs="微软雅黑"/>
              </w:rPr>
              <w:t>(要素)</w:t>
            </w:r>
          </w:p>
        </w:tc>
        <w:tc>
          <w:tcPr>
            <w:tcW w:w="2782"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
              <w:jc w:val="center"/>
            </w:pPr>
            <w:r>
              <w:rPr>
                <w:rFonts w:ascii="微软雅黑" w:hAnsi="微软雅黑" w:eastAsia="微软雅黑" w:cs="微软雅黑"/>
              </w:rPr>
              <w:t>公开依据</w:t>
            </w:r>
          </w:p>
        </w:tc>
        <w:tc>
          <w:tcPr>
            <w:tcW w:w="820"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公开时限</w:t>
            </w:r>
          </w:p>
        </w:tc>
        <w:tc>
          <w:tcPr>
            <w:tcW w:w="621"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jc w:val="center"/>
            </w:pPr>
            <w:r>
              <w:rPr>
                <w:rFonts w:ascii="微软雅黑" w:hAnsi="微软雅黑" w:eastAsia="微软雅黑" w:cs="微软雅黑"/>
              </w:rPr>
              <w:t>公开主体</w:t>
            </w:r>
          </w:p>
        </w:tc>
        <w:tc>
          <w:tcPr>
            <w:tcW w:w="2658" w:type="dxa"/>
            <w:vMerge w:val="restart"/>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3"/>
              <w:jc w:val="center"/>
            </w:pPr>
            <w:r>
              <w:rPr>
                <w:rFonts w:ascii="微软雅黑" w:hAnsi="微软雅黑" w:eastAsia="微软雅黑" w:cs="微软雅黑"/>
              </w:rPr>
              <w:t>公开渠道和载体</w:t>
            </w:r>
          </w:p>
        </w:tc>
        <w:tc>
          <w:tcPr>
            <w:tcW w:w="1144"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公开对象</w:t>
            </w:r>
          </w:p>
        </w:tc>
        <w:tc>
          <w:tcPr>
            <w:tcW w:w="1144"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公开方式</w:t>
            </w:r>
          </w:p>
        </w:tc>
        <w:tc>
          <w:tcPr>
            <w:tcW w:w="1144" w:type="dxa"/>
            <w:gridSpan w:val="2"/>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166"/>
              <w:jc w:val="both"/>
            </w:pPr>
            <w:r>
              <w:rPr>
                <w:rFonts w:ascii="微软雅黑" w:hAnsi="微软雅黑" w:eastAsia="微软雅黑" w:cs="微软雅黑"/>
              </w:rPr>
              <w:t>公开层级</w:t>
            </w:r>
          </w:p>
        </w:tc>
      </w:tr>
      <w:tr>
        <w:tblPrEx>
          <w:tblCellMar>
            <w:top w:w="100" w:type="dxa"/>
            <w:left w:w="38" w:type="dxa"/>
            <w:bottom w:w="0" w:type="dxa"/>
            <w:right w:w="29" w:type="dxa"/>
          </w:tblCellMar>
        </w:tblPrEx>
        <w:trPr>
          <w:trHeight w:val="775" w:hRule="atLeast"/>
        </w:trPr>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609"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一级事项</w:t>
            </w:r>
          </w:p>
        </w:tc>
        <w:tc>
          <w:tcPr>
            <w:tcW w:w="583"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二级事项</w:t>
            </w: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0" w:type="auto"/>
            <w:vMerge w:val="continue"/>
            <w:tcBorders>
              <w:top w:val="nil"/>
              <w:left w:val="single" w:color="000000" w:sz="8" w:space="0"/>
              <w:bottom w:val="single" w:color="000000" w:sz="8" w:space="0"/>
              <w:right w:val="single" w:color="000000" w:sz="8" w:space="0"/>
            </w:tcBorders>
          </w:tcPr>
          <w:p>
            <w:pPr>
              <w:spacing w:after="0" w:line="240" w:lineRule="auto"/>
            </w:pPr>
          </w:p>
        </w:tc>
        <w:tc>
          <w:tcPr>
            <w:tcW w:w="572"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全社会</w:t>
            </w:r>
          </w:p>
        </w:tc>
        <w:tc>
          <w:tcPr>
            <w:tcW w:w="572"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特定群体</w:t>
            </w:r>
          </w:p>
        </w:tc>
        <w:tc>
          <w:tcPr>
            <w:tcW w:w="572"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主动</w:t>
            </w:r>
          </w:p>
        </w:tc>
        <w:tc>
          <w:tcPr>
            <w:tcW w:w="572" w:type="dxa"/>
            <w:tcBorders>
              <w:top w:val="single" w:color="000000" w:sz="8" w:space="0"/>
              <w:left w:val="single" w:color="000000" w:sz="8" w:space="0"/>
              <w:bottom w:val="single" w:color="000000" w:sz="8" w:space="0"/>
              <w:right w:val="single" w:color="000000" w:sz="8" w:space="0"/>
            </w:tcBorders>
          </w:tcPr>
          <w:p>
            <w:pPr>
              <w:spacing w:after="0" w:line="240" w:lineRule="auto"/>
              <w:jc w:val="center"/>
            </w:pPr>
            <w:r>
              <w:rPr>
                <w:rFonts w:ascii="微软雅黑" w:hAnsi="微软雅黑" w:eastAsia="微软雅黑" w:cs="微软雅黑"/>
              </w:rPr>
              <w:t>依申请</w:t>
            </w:r>
          </w:p>
        </w:tc>
        <w:tc>
          <w:tcPr>
            <w:tcW w:w="572"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县级</w:t>
            </w:r>
          </w:p>
        </w:tc>
        <w:tc>
          <w:tcPr>
            <w:tcW w:w="572" w:type="dxa"/>
            <w:tcBorders>
              <w:top w:val="single" w:color="000000" w:sz="8" w:space="0"/>
              <w:left w:val="single" w:color="000000" w:sz="8" w:space="0"/>
              <w:bottom w:val="single" w:color="000000" w:sz="8" w:space="0"/>
              <w:right w:val="single" w:color="000000" w:sz="8" w:space="0"/>
            </w:tcBorders>
            <w:vAlign w:val="center"/>
          </w:tcPr>
          <w:p>
            <w:pPr>
              <w:spacing w:after="0" w:line="240" w:lineRule="auto"/>
              <w:ind w:left="68"/>
              <w:jc w:val="both"/>
            </w:pPr>
            <w:r>
              <w:rPr>
                <w:rFonts w:ascii="微软雅黑" w:hAnsi="微软雅黑" w:eastAsia="微软雅黑" w:cs="微软雅黑"/>
              </w:rPr>
              <w:t>乡级</w:t>
            </w:r>
          </w:p>
        </w:tc>
      </w:tr>
      <w:tr>
        <w:tblPrEx>
          <w:tblCellMar>
            <w:top w:w="100" w:type="dxa"/>
            <w:left w:w="38" w:type="dxa"/>
            <w:bottom w:w="0" w:type="dxa"/>
            <w:right w:w="29" w:type="dxa"/>
          </w:tblCellMar>
        </w:tblPrEx>
        <w:trPr>
          <w:trHeight w:val="4994" w:hRule="atLeast"/>
        </w:trPr>
        <w:tc>
          <w:tcPr>
            <w:tcW w:w="397"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609"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动物防疫等补助经费</w:t>
            </w:r>
          </w:p>
        </w:tc>
        <w:tc>
          <w:tcPr>
            <w:tcW w:w="583"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强制扑杀、强制免疫和养殖环节无害化处理补助</w:t>
            </w:r>
          </w:p>
        </w:tc>
        <w:tc>
          <w:tcPr>
            <w:tcW w:w="205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政策依据；</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申请指南：包括补贴对象、补贴范围、补贴标准、申请程序、申请材料、咨询电话、受理单位、办理时限、联系方式等；</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补贴结果；</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eastAsia" w:ascii="Times New Roman" w:hAnsi="Times New Roman" w:eastAsia="仿宋_GB2312" w:cs="Times New Roman"/>
                <w:color w:val="000000"/>
                <w:kern w:val="0"/>
                <w:sz w:val="21"/>
                <w:szCs w:val="21"/>
                <w:lang w:eastAsia="en-US"/>
              </w:rPr>
              <w:t>●</w:t>
            </w:r>
            <w:r>
              <w:rPr>
                <w:rFonts w:hint="default" w:ascii="Times New Roman" w:hAnsi="Times New Roman" w:eastAsia="仿宋_GB2312" w:cs="Times New Roman"/>
                <w:color w:val="000000"/>
                <w:kern w:val="0"/>
                <w:sz w:val="21"/>
                <w:szCs w:val="21"/>
                <w:lang w:eastAsia="en-US"/>
              </w:rPr>
              <w:t>监督渠道：包括举报电话、地址等。</w:t>
            </w:r>
          </w:p>
        </w:tc>
        <w:tc>
          <w:tcPr>
            <w:tcW w:w="2782"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eastAsia="en-US"/>
              </w:rPr>
              <w:t>《中华人民共和国动物防疫法》、《</w:t>
            </w:r>
            <w:r>
              <w:rPr>
                <w:rFonts w:hint="eastAsia" w:ascii="Times New Roman" w:hAnsi="Times New Roman" w:eastAsia="仿宋_GB2312" w:cs="Times New Roman"/>
                <w:color w:val="000000"/>
                <w:kern w:val="0"/>
                <w:sz w:val="21"/>
                <w:szCs w:val="21"/>
                <w:lang w:eastAsia="en-US"/>
              </w:rPr>
              <w:t>财政部 农业农村部关于修订农业相关转移支付资金管理办法的通知</w:t>
            </w: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eastAsia="en-US"/>
              </w:rPr>
              <w:t>财农〔2022〕25号</w:t>
            </w: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eastAsia="zh-CN"/>
              </w:rPr>
              <w:t>、《河南省动物疫病强制免疫补助政策改革实施方案的通知》（豫农文</w:t>
            </w:r>
            <w:r>
              <w:rPr>
                <w:rFonts w:hint="default" w:ascii="Times New Roman" w:hAnsi="Times New Roman" w:eastAsia="仿宋_GB2312" w:cs="Times New Roman"/>
                <w:color w:val="000000"/>
                <w:kern w:val="0"/>
                <w:sz w:val="21"/>
                <w:szCs w:val="21"/>
                <w:lang w:eastAsia="en-US"/>
              </w:rPr>
              <w:t>〔2</w:t>
            </w:r>
            <w:r>
              <w:rPr>
                <w:rFonts w:hint="eastAsia" w:ascii="Times New Roman" w:hAnsi="Times New Roman" w:eastAsia="仿宋_GB2312" w:cs="Times New Roman"/>
                <w:color w:val="000000"/>
                <w:kern w:val="0"/>
                <w:sz w:val="21"/>
                <w:szCs w:val="21"/>
                <w:lang w:val="en-US" w:eastAsia="zh-CN"/>
              </w:rPr>
              <w:t>021</w:t>
            </w:r>
            <w:r>
              <w:rPr>
                <w:rFonts w:hint="default" w:ascii="Times New Roman" w:hAnsi="Times New Roman" w:eastAsia="仿宋_GB2312" w:cs="Times New Roman"/>
                <w:color w:val="000000"/>
                <w:kern w:val="0"/>
                <w:sz w:val="21"/>
                <w:szCs w:val="21"/>
                <w:lang w:eastAsia="en-US"/>
              </w:rPr>
              <w:t>〕</w:t>
            </w:r>
            <w:r>
              <w:rPr>
                <w:rFonts w:hint="eastAsia" w:ascii="Times New Roman" w:hAnsi="Times New Roman" w:eastAsia="仿宋_GB2312" w:cs="Times New Roman"/>
                <w:color w:val="000000"/>
                <w:kern w:val="0"/>
                <w:sz w:val="21"/>
                <w:szCs w:val="21"/>
                <w:lang w:val="en-US" w:eastAsia="zh-CN"/>
              </w:rPr>
              <w:t>333号）</w:t>
            </w:r>
          </w:p>
        </w:tc>
        <w:tc>
          <w:tcPr>
            <w:tcW w:w="820"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自政府信息形成或者变更之日起20 个工作日内。法律、法规对政府信息公开的期限另有规定的，</w:t>
            </w:r>
          </w:p>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从其规定</w:t>
            </w:r>
          </w:p>
        </w:tc>
        <w:tc>
          <w:tcPr>
            <w:tcW w:w="621"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县级农业农村部门</w:t>
            </w:r>
          </w:p>
        </w:tc>
        <w:tc>
          <w:tcPr>
            <w:tcW w:w="2658"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■政府网站</w:t>
            </w:r>
          </w:p>
        </w:tc>
        <w:tc>
          <w:tcPr>
            <w:tcW w:w="572"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72"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c>
          <w:tcPr>
            <w:tcW w:w="572"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72"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c>
          <w:tcPr>
            <w:tcW w:w="572"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r>
              <w:rPr>
                <w:rFonts w:hint="default" w:ascii="Times New Roman" w:hAnsi="Times New Roman" w:eastAsia="仿宋_GB2312" w:cs="Times New Roman"/>
                <w:color w:val="000000"/>
                <w:kern w:val="0"/>
                <w:sz w:val="21"/>
                <w:szCs w:val="21"/>
                <w:lang w:eastAsia="en-US"/>
              </w:rPr>
              <w:t>√</w:t>
            </w:r>
          </w:p>
        </w:tc>
        <w:tc>
          <w:tcPr>
            <w:tcW w:w="572"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kinsoku/>
              <w:wordWrap/>
              <w:overflowPunct/>
              <w:topLinePunct w:val="0"/>
              <w:autoSpaceDE/>
              <w:autoSpaceDN/>
              <w:bidi w:val="0"/>
              <w:adjustRightInd/>
              <w:snapToGrid/>
              <w:spacing w:after="0" w:line="320" w:lineRule="exact"/>
              <w:ind w:left="0"/>
              <w:jc w:val="left"/>
              <w:textAlignment w:val="auto"/>
              <w:rPr>
                <w:rFonts w:hint="default" w:ascii="Times New Roman" w:hAnsi="Times New Roman" w:eastAsia="仿宋_GB2312" w:cs="Times New Roman"/>
                <w:color w:val="000000"/>
                <w:kern w:val="0"/>
                <w:sz w:val="21"/>
                <w:szCs w:val="21"/>
                <w:lang w:eastAsia="en-US"/>
              </w:rPr>
            </w:pPr>
          </w:p>
        </w:tc>
      </w:tr>
    </w:tbl>
    <w:p>
      <w:pPr>
        <w:rPr>
          <w:rFonts w:hint="eastAsia"/>
        </w:rPr>
      </w:pPr>
    </w:p>
    <w:p>
      <w:pPr>
        <w:spacing w:after="0"/>
        <w:rPr>
          <w:rFonts w:hint="eastAsia" w:ascii="仿宋_GB2312" w:hAnsi="仿宋_GB2312" w:eastAsia="仿宋_GB2312" w:cs="仿宋_GB2312"/>
        </w:rPr>
      </w:pPr>
      <w:r>
        <w:rPr>
          <w:rFonts w:hint="eastAsia" w:ascii="仿宋_GB2312" w:hAnsi="仿宋_GB2312" w:eastAsia="仿宋_GB2312" w:cs="仿宋_GB2312"/>
        </w:rPr>
        <w:t>注：公开信息时应注意保护个人身份信息和隐私安全。</w:t>
      </w:r>
    </w:p>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M2VjMDY1YmE4NGRlMzZmNmI2ZTAxMjIyOGVhODEifQ=="/>
  </w:docVars>
  <w:rsids>
    <w:rsidRoot w:val="FBFF4ECF"/>
    <w:rsid w:val="303E26ED"/>
    <w:rsid w:val="592F8072"/>
    <w:rsid w:val="5FBDCCA9"/>
    <w:rsid w:val="76DF4A59"/>
    <w:rsid w:val="DFFC6B4E"/>
    <w:rsid w:val="DFFF220B"/>
    <w:rsid w:val="E75CEEAC"/>
    <w:rsid w:val="FBFF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5"/>
    <w:basedOn w:val="1"/>
    <w:qFormat/>
    <w:uiPriority w:val="0"/>
    <w:pPr>
      <w:spacing w:line="560" w:lineRule="exact"/>
      <w:ind w:firstLine="420" w:firstLineChars="200"/>
    </w:pPr>
    <w:rPr>
      <w:rFonts w:ascii="Times New Roman" w:hAnsi="Times New Roman" w:eastAsia="仿宋_GB2312"/>
      <w:sz w:val="32"/>
    </w:r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2023-11-24T11:08:00Z</dcterms:created>
  <dc:creator>user</dc:creator>
  <cp:lastModifiedBy>莫笑痴狂</cp:lastModifiedBy>
  <dcterms:modified xsi:type="dcterms:W3CDTF">2023-11-27T01:39:01Z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8D73D2EE95E042128846BD1612B8771A_12</vt:lpwstr>
  </property>
</Properties>
</file>