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方正小标宋简体" w:eastAsia="方正小标宋简体" w:cs="方正小标宋简体"/>
          <w:b w:val="0"/>
          <w:bCs w:val="0"/>
        </w:rPr>
      </w:pPr>
      <w:bookmarkStart w:id="0" w:name="_Toc3954_WPSOffice_Level1"/>
      <w:bookmarkStart w:id="1" w:name="_Toc8907"/>
      <w:bookmarkStart w:id="2" w:name="_Toc4111_WPSOffice_Level1"/>
      <w:bookmarkStart w:id="3" w:name="公共文化服务领域基层政务公开标准目录"/>
      <w:bookmarkStart w:id="4" w:name="_GoBack"/>
      <w:r>
        <w:rPr>
          <w:rFonts w:hint="eastAsia" w:ascii="方正小标宋简体" w:hAnsi="方正小标宋简体" w:eastAsia="方正小标宋简体" w:cs="方正小标宋简体"/>
          <w:b w:val="0"/>
          <w:bCs w:val="0"/>
        </w:rPr>
        <w:t>周口市公共文化服务领域基层政务公开标准目录</w:t>
      </w:r>
      <w:bookmarkEnd w:id="0"/>
      <w:bookmarkEnd w:id="1"/>
      <w:bookmarkEnd w:id="2"/>
      <w:bookmarkEnd w:id="3"/>
    </w:p>
    <w:bookmarkEnd w:id="4"/>
    <w:tbl>
      <w:tblPr>
        <w:tblStyle w:val="3"/>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序号</w:t>
            </w:r>
          </w:p>
        </w:tc>
        <w:tc>
          <w:tcPr>
            <w:tcW w:w="2354" w:type="dxa"/>
            <w:gridSpan w:val="2"/>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公开事项</w:t>
            </w:r>
          </w:p>
        </w:tc>
        <w:tc>
          <w:tcPr>
            <w:tcW w:w="1446"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公开内容（要素）</w:t>
            </w:r>
          </w:p>
        </w:tc>
        <w:tc>
          <w:tcPr>
            <w:tcW w:w="1980"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公开依据</w:t>
            </w:r>
          </w:p>
        </w:tc>
        <w:tc>
          <w:tcPr>
            <w:tcW w:w="1814"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公开时限</w:t>
            </w:r>
          </w:p>
        </w:tc>
        <w:tc>
          <w:tcPr>
            <w:tcW w:w="1426" w:type="dxa"/>
            <w:vMerge w:val="restart"/>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公开主体</w:t>
            </w:r>
          </w:p>
        </w:tc>
        <w:tc>
          <w:tcPr>
            <w:tcW w:w="1440" w:type="dxa"/>
            <w:vMerge w:val="restart"/>
            <w:vAlign w:val="center"/>
          </w:tcPr>
          <w:p>
            <w:pPr>
              <w:widowControl/>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公开渠道和载体</w:t>
            </w:r>
          </w:p>
        </w:tc>
        <w:tc>
          <w:tcPr>
            <w:tcW w:w="1244" w:type="dxa"/>
            <w:gridSpan w:val="2"/>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公开对象</w:t>
            </w:r>
          </w:p>
        </w:tc>
        <w:tc>
          <w:tcPr>
            <w:tcW w:w="1172" w:type="dxa"/>
            <w:gridSpan w:val="2"/>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公开方式</w:t>
            </w:r>
          </w:p>
        </w:tc>
        <w:tc>
          <w:tcPr>
            <w:tcW w:w="1018" w:type="dxa"/>
            <w:gridSpan w:val="2"/>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ascii="黑体" w:hAnsi="黑体" w:eastAsia="黑体" w:cs="黑体"/>
                <w:color w:val="000000"/>
                <w:kern w:val="0"/>
                <w:sz w:val="18"/>
                <w:szCs w:val="18"/>
              </w:rPr>
            </w:pPr>
          </w:p>
        </w:tc>
        <w:tc>
          <w:tcPr>
            <w:tcW w:w="734"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一级事项</w:t>
            </w:r>
          </w:p>
        </w:tc>
        <w:tc>
          <w:tcPr>
            <w:tcW w:w="1620"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二级事项</w:t>
            </w:r>
          </w:p>
        </w:tc>
        <w:tc>
          <w:tcPr>
            <w:tcW w:w="1446" w:type="dxa"/>
            <w:vMerge w:val="continue"/>
            <w:vAlign w:val="center"/>
          </w:tcPr>
          <w:p>
            <w:pPr>
              <w:widowControl/>
              <w:spacing w:line="240" w:lineRule="exact"/>
              <w:jc w:val="left"/>
              <w:rPr>
                <w:rFonts w:ascii="黑体" w:hAnsi="黑体" w:eastAsia="黑体" w:cs="黑体"/>
                <w:color w:val="000000"/>
                <w:kern w:val="0"/>
                <w:sz w:val="18"/>
                <w:szCs w:val="18"/>
              </w:rPr>
            </w:pPr>
          </w:p>
        </w:tc>
        <w:tc>
          <w:tcPr>
            <w:tcW w:w="1980" w:type="dxa"/>
            <w:vMerge w:val="continue"/>
            <w:vAlign w:val="center"/>
          </w:tcPr>
          <w:p>
            <w:pPr>
              <w:widowControl/>
              <w:spacing w:line="240" w:lineRule="exact"/>
              <w:jc w:val="left"/>
              <w:rPr>
                <w:rFonts w:ascii="黑体" w:hAnsi="黑体" w:eastAsia="黑体" w:cs="黑体"/>
                <w:color w:val="000000"/>
                <w:kern w:val="0"/>
                <w:sz w:val="18"/>
                <w:szCs w:val="18"/>
              </w:rPr>
            </w:pPr>
          </w:p>
        </w:tc>
        <w:tc>
          <w:tcPr>
            <w:tcW w:w="1814" w:type="dxa"/>
            <w:vMerge w:val="continue"/>
            <w:vAlign w:val="center"/>
          </w:tcPr>
          <w:p>
            <w:pPr>
              <w:widowControl/>
              <w:spacing w:line="240" w:lineRule="exact"/>
              <w:jc w:val="left"/>
              <w:rPr>
                <w:rFonts w:ascii="黑体" w:hAnsi="黑体" w:eastAsia="黑体" w:cs="黑体"/>
                <w:color w:val="000000"/>
                <w:kern w:val="0"/>
                <w:sz w:val="18"/>
                <w:szCs w:val="18"/>
              </w:rPr>
            </w:pPr>
          </w:p>
        </w:tc>
        <w:tc>
          <w:tcPr>
            <w:tcW w:w="1426" w:type="dxa"/>
            <w:vMerge w:val="continue"/>
            <w:vAlign w:val="center"/>
          </w:tcPr>
          <w:p>
            <w:pPr>
              <w:widowControl/>
              <w:spacing w:line="240" w:lineRule="exact"/>
              <w:jc w:val="left"/>
              <w:rPr>
                <w:rFonts w:ascii="黑体" w:hAnsi="黑体" w:eastAsia="黑体" w:cs="黑体"/>
                <w:color w:val="000000"/>
                <w:kern w:val="0"/>
                <w:sz w:val="18"/>
                <w:szCs w:val="18"/>
              </w:rPr>
            </w:pPr>
          </w:p>
        </w:tc>
        <w:tc>
          <w:tcPr>
            <w:tcW w:w="1440" w:type="dxa"/>
            <w:vMerge w:val="continue"/>
            <w:vAlign w:val="center"/>
          </w:tcPr>
          <w:p>
            <w:pPr>
              <w:widowControl/>
              <w:spacing w:line="240" w:lineRule="exact"/>
              <w:jc w:val="left"/>
              <w:rPr>
                <w:rFonts w:ascii="黑体" w:hAnsi="黑体" w:eastAsia="黑体" w:cs="黑体"/>
                <w:kern w:val="0"/>
                <w:sz w:val="18"/>
                <w:szCs w:val="18"/>
              </w:rPr>
            </w:pPr>
          </w:p>
        </w:tc>
        <w:tc>
          <w:tcPr>
            <w:tcW w:w="605"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全社会</w:t>
            </w:r>
          </w:p>
        </w:tc>
        <w:tc>
          <w:tcPr>
            <w:tcW w:w="639"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特定群体</w:t>
            </w:r>
          </w:p>
        </w:tc>
        <w:tc>
          <w:tcPr>
            <w:tcW w:w="450"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主动</w:t>
            </w:r>
          </w:p>
        </w:tc>
        <w:tc>
          <w:tcPr>
            <w:tcW w:w="722"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依申请公开</w:t>
            </w:r>
          </w:p>
        </w:tc>
        <w:tc>
          <w:tcPr>
            <w:tcW w:w="463"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县级</w:t>
            </w:r>
          </w:p>
        </w:tc>
        <w:tc>
          <w:tcPr>
            <w:tcW w:w="555" w:type="dxa"/>
            <w:vAlign w:val="center"/>
          </w:tcPr>
          <w:p>
            <w:pPr>
              <w:widowControl/>
              <w:spacing w:line="240" w:lineRule="exact"/>
              <w:jc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1</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许可</w:t>
            </w:r>
          </w:p>
        </w:tc>
        <w:tc>
          <w:tcPr>
            <w:tcW w:w="1620" w:type="dxa"/>
            <w:vAlign w:val="center"/>
          </w:tcPr>
          <w:p>
            <w:pPr>
              <w:spacing w:line="240" w:lineRule="exact"/>
              <w:rPr>
                <w:rFonts w:ascii="宋体" w:cs="宋体"/>
                <w:sz w:val="18"/>
                <w:szCs w:val="18"/>
              </w:rPr>
            </w:pPr>
            <w:r>
              <w:rPr>
                <w:rFonts w:hint="eastAsia" w:ascii="宋体" w:hAnsi="宋体" w:cs="宋体"/>
                <w:sz w:val="18"/>
                <w:szCs w:val="18"/>
              </w:rPr>
              <w:t>互联网上网服务营业场所经营许可</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行政许可决定。</w:t>
            </w:r>
          </w:p>
        </w:tc>
        <w:tc>
          <w:tcPr>
            <w:tcW w:w="1980" w:type="dxa"/>
            <w:vAlign w:val="center"/>
          </w:tcPr>
          <w:p>
            <w:pPr>
              <w:spacing w:line="240" w:lineRule="exact"/>
              <w:rPr>
                <w:rFonts w:ascii="宋体" w:cs="宋体"/>
                <w:sz w:val="18"/>
                <w:szCs w:val="18"/>
              </w:rPr>
            </w:pPr>
            <w:r>
              <w:rPr>
                <w:rFonts w:hint="eastAsia" w:ascii="宋体" w:hAnsi="宋体" w:cs="宋体"/>
                <w:sz w:val="18"/>
                <w:szCs w:val="18"/>
              </w:rPr>
              <w:t>《中华人民共和国行政许可法》、《中国人民共和国政府信息公开条例》、《互联网上网服务营业场所管理条例》</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r>
              <w:rPr>
                <w:rFonts w:hint="eastAsia" w:ascii="宋体" w:hAnsi="宋体" w:cs="宋体"/>
                <w:sz w:val="18"/>
                <w:szCs w:val="18"/>
              </w:rPr>
              <w:t>■政务服务中心</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2</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文艺表演团体设立审批</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行政许可决定。</w:t>
            </w:r>
          </w:p>
        </w:tc>
        <w:tc>
          <w:tcPr>
            <w:tcW w:w="1980" w:type="dxa"/>
            <w:vAlign w:val="center"/>
          </w:tcPr>
          <w:p>
            <w:pPr>
              <w:spacing w:line="240" w:lineRule="exact"/>
              <w:rPr>
                <w:rFonts w:ascii="宋体" w:cs="宋体"/>
                <w:sz w:val="18"/>
                <w:szCs w:val="18"/>
              </w:rPr>
            </w:pPr>
            <w:r>
              <w:rPr>
                <w:rFonts w:hint="eastAsia" w:ascii="宋体" w:hAnsi="宋体" w:cs="宋体"/>
                <w:sz w:val="18"/>
                <w:szCs w:val="18"/>
              </w:rPr>
              <w:t>《中华人民共和国行政许可法》、《中国人民共和国政府信息公开条例》、《营业性演出管理条例》、《文化部关于落实“先照后证”改进文化市场行政审批工作的通知》</w:t>
            </w:r>
            <w:r>
              <w:rPr>
                <w:rFonts w:ascii="宋体" w:hAnsi="宋体" w:cs="宋体"/>
                <w:sz w:val="18"/>
                <w:szCs w:val="18"/>
              </w:rPr>
              <w:t xml:space="preserve"> </w:t>
            </w:r>
            <w:r>
              <w:rPr>
                <w:rFonts w:hint="eastAsia" w:ascii="宋体" w:hAnsi="宋体" w:cs="宋体"/>
                <w:sz w:val="18"/>
                <w:szCs w:val="18"/>
              </w:rPr>
              <w:t>（文市函﹝</w:t>
            </w:r>
            <w:r>
              <w:rPr>
                <w:rFonts w:ascii="宋体" w:hAnsi="宋体" w:cs="宋体"/>
                <w:sz w:val="18"/>
                <w:szCs w:val="18"/>
              </w:rPr>
              <w:t>2015</w:t>
            </w:r>
            <w:r>
              <w:rPr>
                <w:rFonts w:hint="eastAsia" w:ascii="宋体" w:hAnsi="宋体" w:cs="宋体"/>
                <w:sz w:val="18"/>
                <w:szCs w:val="18"/>
              </w:rPr>
              <w:t>）</w:t>
            </w:r>
            <w:r>
              <w:rPr>
                <w:rFonts w:ascii="宋体" w:hAnsi="宋体" w:cs="宋体"/>
                <w:sz w:val="18"/>
                <w:szCs w:val="18"/>
              </w:rPr>
              <w:t>627</w:t>
            </w:r>
            <w:r>
              <w:rPr>
                <w:rFonts w:hint="eastAsia" w:ascii="宋体" w:hAnsi="宋体" w:cs="宋体"/>
                <w:sz w:val="18"/>
                <w:szCs w:val="18"/>
              </w:rPr>
              <w:t>号）</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p>
            <w:pPr>
              <w:spacing w:line="240" w:lineRule="exact"/>
              <w:rPr>
                <w:rFonts w:ascii="宋体" w:cs="宋体"/>
                <w:sz w:val="18"/>
                <w:szCs w:val="18"/>
              </w:rPr>
            </w:pPr>
            <w:r>
              <w:rPr>
                <w:rFonts w:hint="eastAsia" w:ascii="宋体" w:hAnsi="宋体" w:cs="宋体"/>
                <w:sz w:val="18"/>
                <w:szCs w:val="18"/>
              </w:rPr>
              <w:t>■政务服务中心</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3</w:t>
            </w:r>
          </w:p>
        </w:tc>
        <w:tc>
          <w:tcPr>
            <w:tcW w:w="734" w:type="dxa"/>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许可</w:t>
            </w:r>
          </w:p>
        </w:tc>
        <w:tc>
          <w:tcPr>
            <w:tcW w:w="1620" w:type="dxa"/>
            <w:vAlign w:val="center"/>
          </w:tcPr>
          <w:p>
            <w:pPr>
              <w:spacing w:line="240" w:lineRule="exact"/>
              <w:rPr>
                <w:rFonts w:ascii="宋体" w:cs="宋体"/>
                <w:sz w:val="18"/>
                <w:szCs w:val="18"/>
              </w:rPr>
            </w:pPr>
            <w:r>
              <w:rPr>
                <w:rFonts w:hint="eastAsia" w:ascii="宋体" w:hAnsi="宋体" w:cs="宋体"/>
                <w:sz w:val="18"/>
                <w:szCs w:val="18"/>
              </w:rPr>
              <w:t>营业性演出审批</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行政许可决定。</w:t>
            </w:r>
          </w:p>
        </w:tc>
        <w:tc>
          <w:tcPr>
            <w:tcW w:w="1980" w:type="dxa"/>
            <w:vAlign w:val="center"/>
          </w:tcPr>
          <w:p>
            <w:pPr>
              <w:spacing w:line="240" w:lineRule="exact"/>
              <w:rPr>
                <w:rFonts w:ascii="宋体" w:cs="宋体"/>
                <w:sz w:val="18"/>
                <w:szCs w:val="18"/>
              </w:rPr>
            </w:pPr>
            <w:r>
              <w:rPr>
                <w:rFonts w:hint="eastAsia" w:ascii="宋体" w:hAnsi="宋体" w:cs="宋体"/>
                <w:sz w:val="18"/>
                <w:szCs w:val="18"/>
              </w:rPr>
              <w:t>《中华人民共和国行政许可法》、《中国人民共和国政府信息公开条例》、《营业性演出管理条例》、《文化部关于落实“先照后证”改进文化市场行政审批工作的通知》</w:t>
            </w:r>
            <w:r>
              <w:rPr>
                <w:rFonts w:ascii="宋体" w:hAnsi="宋体" w:cs="宋体"/>
                <w:sz w:val="18"/>
                <w:szCs w:val="18"/>
              </w:rPr>
              <w:t xml:space="preserve"> </w:t>
            </w:r>
            <w:r>
              <w:rPr>
                <w:rFonts w:hint="eastAsia" w:ascii="宋体" w:hAnsi="宋体" w:cs="宋体"/>
                <w:sz w:val="18"/>
                <w:szCs w:val="18"/>
              </w:rPr>
              <w:t>（文市函﹝</w:t>
            </w:r>
            <w:r>
              <w:rPr>
                <w:rFonts w:ascii="宋体" w:hAnsi="宋体" w:cs="宋体"/>
                <w:sz w:val="18"/>
                <w:szCs w:val="18"/>
              </w:rPr>
              <w:t>2015</w:t>
            </w:r>
            <w:r>
              <w:rPr>
                <w:rFonts w:hint="eastAsia" w:ascii="宋体" w:hAnsi="宋体" w:cs="宋体"/>
                <w:sz w:val="18"/>
                <w:szCs w:val="18"/>
              </w:rPr>
              <w:t>）</w:t>
            </w:r>
            <w:r>
              <w:rPr>
                <w:rFonts w:ascii="宋体" w:hAnsi="宋体" w:cs="宋体"/>
                <w:sz w:val="18"/>
                <w:szCs w:val="18"/>
              </w:rPr>
              <w:t>627</w:t>
            </w:r>
            <w:r>
              <w:rPr>
                <w:rFonts w:hint="eastAsia" w:ascii="宋体" w:hAnsi="宋体" w:cs="宋体"/>
                <w:sz w:val="18"/>
                <w:szCs w:val="18"/>
              </w:rPr>
              <w:t>号）</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r>
              <w:rPr>
                <w:rFonts w:hint="eastAsia" w:ascii="宋体" w:hAnsi="宋体" w:cs="宋体"/>
                <w:sz w:val="18"/>
                <w:szCs w:val="18"/>
              </w:rPr>
              <w:t>■政务服务中心</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4</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许可</w:t>
            </w:r>
          </w:p>
        </w:tc>
        <w:tc>
          <w:tcPr>
            <w:tcW w:w="1620" w:type="dxa"/>
            <w:vAlign w:val="center"/>
          </w:tcPr>
          <w:p>
            <w:pPr>
              <w:spacing w:line="240" w:lineRule="exact"/>
              <w:rPr>
                <w:rFonts w:ascii="宋体" w:cs="宋体"/>
                <w:sz w:val="18"/>
                <w:szCs w:val="18"/>
              </w:rPr>
            </w:pPr>
            <w:r>
              <w:rPr>
                <w:rFonts w:hint="eastAsia" w:ascii="宋体" w:hAnsi="宋体" w:cs="宋体"/>
                <w:sz w:val="18"/>
                <w:szCs w:val="18"/>
              </w:rPr>
              <w:t>娱乐场所经营许可</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行政许可决定。</w:t>
            </w:r>
          </w:p>
        </w:tc>
        <w:tc>
          <w:tcPr>
            <w:tcW w:w="1980" w:type="dxa"/>
            <w:vAlign w:val="center"/>
          </w:tcPr>
          <w:p>
            <w:pPr>
              <w:spacing w:line="240" w:lineRule="exact"/>
              <w:rPr>
                <w:rFonts w:ascii="宋体" w:cs="宋体"/>
                <w:sz w:val="18"/>
                <w:szCs w:val="18"/>
              </w:rPr>
            </w:pPr>
            <w:r>
              <w:rPr>
                <w:rFonts w:hint="eastAsia" w:ascii="宋体" w:hAnsi="宋体" w:cs="宋体"/>
                <w:sz w:val="18"/>
                <w:szCs w:val="18"/>
              </w:rPr>
              <w:t>《中华人民共和国行政许可法》；《中华人民共和国政府信息公开条例》</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p>
            <w:pPr>
              <w:spacing w:line="240" w:lineRule="exact"/>
              <w:rPr>
                <w:rFonts w:ascii="宋体" w:cs="宋体"/>
                <w:sz w:val="18"/>
                <w:szCs w:val="18"/>
              </w:rPr>
            </w:pPr>
            <w:r>
              <w:rPr>
                <w:rFonts w:hint="eastAsia" w:ascii="宋体" w:hAnsi="宋体" w:cs="宋体"/>
                <w:sz w:val="18"/>
                <w:szCs w:val="18"/>
              </w:rPr>
              <w:t>■政务服务中心</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5</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县级文物保护单位保护范围内其他建设工程或者爆破、钻探、挖掘等作业审批</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行政许可决定。</w:t>
            </w:r>
          </w:p>
        </w:tc>
        <w:tc>
          <w:tcPr>
            <w:tcW w:w="1980" w:type="dxa"/>
            <w:vAlign w:val="center"/>
          </w:tcPr>
          <w:p>
            <w:pPr>
              <w:spacing w:line="240" w:lineRule="exact"/>
              <w:rPr>
                <w:rFonts w:ascii="宋体" w:cs="宋体"/>
                <w:sz w:val="18"/>
                <w:szCs w:val="18"/>
              </w:rPr>
            </w:pPr>
            <w:r>
              <w:rPr>
                <w:rFonts w:hint="eastAsia" w:ascii="宋体" w:hAnsi="宋体" w:cs="宋体"/>
                <w:sz w:val="18"/>
                <w:szCs w:val="18"/>
              </w:rPr>
              <w:t>《中华人民共和国行政许可法》；《中华人民共和国政府信息公开条例》</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p>
            <w:pPr>
              <w:spacing w:line="240" w:lineRule="exact"/>
              <w:rPr>
                <w:rFonts w:ascii="宋体" w:cs="宋体"/>
                <w:sz w:val="18"/>
                <w:szCs w:val="18"/>
              </w:rPr>
            </w:pPr>
            <w:r>
              <w:rPr>
                <w:rFonts w:hint="eastAsia" w:ascii="宋体" w:hAnsi="宋体" w:cs="宋体"/>
                <w:sz w:val="18"/>
                <w:szCs w:val="18"/>
              </w:rPr>
              <w:t>■政务服务中心</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6</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县级文物保护单位建设控制地带内建设工程设计方案审批</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行政许可决定。</w:t>
            </w:r>
          </w:p>
        </w:tc>
        <w:tc>
          <w:tcPr>
            <w:tcW w:w="1980" w:type="dxa"/>
            <w:vAlign w:val="center"/>
          </w:tcPr>
          <w:p>
            <w:pPr>
              <w:spacing w:line="240" w:lineRule="exact"/>
              <w:rPr>
                <w:rFonts w:ascii="宋体" w:cs="宋体"/>
                <w:sz w:val="18"/>
                <w:szCs w:val="18"/>
              </w:rPr>
            </w:pPr>
            <w:r>
              <w:rPr>
                <w:rFonts w:hint="eastAsia" w:ascii="宋体" w:hAnsi="宋体" w:cs="宋体"/>
                <w:sz w:val="18"/>
                <w:szCs w:val="18"/>
              </w:rPr>
              <w:t>《中华人民共和国行政许可法》；《中华人民共和国政府信息公开条例》</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p>
            <w:pPr>
              <w:spacing w:line="240" w:lineRule="exact"/>
              <w:rPr>
                <w:rFonts w:ascii="宋体" w:cs="宋体"/>
                <w:sz w:val="18"/>
                <w:szCs w:val="18"/>
              </w:rPr>
            </w:pPr>
            <w:r>
              <w:rPr>
                <w:rFonts w:hint="eastAsia" w:ascii="宋体" w:hAnsi="宋体" w:cs="宋体"/>
                <w:sz w:val="18"/>
                <w:szCs w:val="18"/>
              </w:rPr>
              <w:t>■政务服务中心</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7</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县级文物保护单位实施原址保护措施审批</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行政许可决定。</w:t>
            </w:r>
          </w:p>
        </w:tc>
        <w:tc>
          <w:tcPr>
            <w:tcW w:w="1980" w:type="dxa"/>
            <w:vAlign w:val="center"/>
          </w:tcPr>
          <w:p>
            <w:pPr>
              <w:spacing w:line="240" w:lineRule="exact"/>
              <w:rPr>
                <w:rFonts w:ascii="宋体" w:cs="宋体"/>
                <w:sz w:val="18"/>
                <w:szCs w:val="18"/>
              </w:rPr>
            </w:pPr>
            <w:r>
              <w:rPr>
                <w:rFonts w:hint="eastAsia" w:ascii="宋体" w:hAnsi="宋体" w:cs="宋体"/>
                <w:sz w:val="18"/>
                <w:szCs w:val="18"/>
              </w:rPr>
              <w:t>《中华人民共和国行政许可法》；《中华人民共和国政府信息公开条例》</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r>
              <w:rPr>
                <w:rFonts w:hint="eastAsia" w:ascii="宋体" w:hAnsi="宋体" w:cs="宋体"/>
                <w:sz w:val="18"/>
                <w:szCs w:val="18"/>
              </w:rPr>
              <w:t>■政务服务中心</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8</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许可</w:t>
            </w:r>
          </w:p>
        </w:tc>
        <w:tc>
          <w:tcPr>
            <w:tcW w:w="1620" w:type="dxa"/>
            <w:vAlign w:val="center"/>
          </w:tcPr>
          <w:p>
            <w:pPr>
              <w:spacing w:line="240" w:lineRule="exact"/>
              <w:rPr>
                <w:rFonts w:ascii="宋体" w:cs="宋体"/>
                <w:sz w:val="18"/>
                <w:szCs w:val="18"/>
              </w:rPr>
            </w:pPr>
            <w:r>
              <w:rPr>
                <w:rFonts w:hint="eastAsia" w:ascii="宋体" w:hAnsi="宋体" w:cs="宋体"/>
                <w:sz w:val="18"/>
                <w:szCs w:val="18"/>
              </w:rPr>
              <w:t>县级文物保护单位和未核定为文物保护单位的不可移动文物修缮审批</w:t>
            </w:r>
          </w:p>
        </w:tc>
        <w:tc>
          <w:tcPr>
            <w:tcW w:w="1446" w:type="dxa"/>
          </w:tcPr>
          <w:p>
            <w:r>
              <w:rPr>
                <w:rFonts w:ascii="宋体" w:hAnsi="宋体" w:cs="宋体"/>
                <w:sz w:val="18"/>
                <w:szCs w:val="18"/>
              </w:rPr>
              <w:t>1.</w:t>
            </w:r>
            <w:r>
              <w:rPr>
                <w:rFonts w:hint="eastAsia" w:ascii="宋体" w:hAnsi="宋体" w:cs="宋体"/>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行政许可决定。</w:t>
            </w:r>
          </w:p>
        </w:tc>
        <w:tc>
          <w:tcPr>
            <w:tcW w:w="1980" w:type="dxa"/>
            <w:vAlign w:val="center"/>
          </w:tcPr>
          <w:p>
            <w:pPr>
              <w:spacing w:line="240" w:lineRule="exact"/>
              <w:rPr>
                <w:rFonts w:ascii="宋体" w:cs="宋体"/>
                <w:sz w:val="18"/>
                <w:szCs w:val="18"/>
              </w:rPr>
            </w:pPr>
            <w:r>
              <w:rPr>
                <w:rFonts w:hint="eastAsia" w:ascii="宋体" w:hAnsi="宋体" w:cs="宋体"/>
                <w:sz w:val="18"/>
                <w:szCs w:val="18"/>
              </w:rPr>
              <w:t>《中华人民共和国行政许可法》；《中华人民共和国政府信息公开条例》</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r>
              <w:rPr>
                <w:rFonts w:hint="eastAsia" w:ascii="宋体" w:hAnsi="宋体" w:cs="宋体"/>
                <w:sz w:val="18"/>
                <w:szCs w:val="18"/>
              </w:rPr>
              <w:t>■政务服务中心</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9</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核定为县级文物保护单位的属于国家所有的纪念建筑物或者古建筑改变用途审批</w:t>
            </w:r>
          </w:p>
        </w:tc>
        <w:tc>
          <w:tcPr>
            <w:tcW w:w="1446" w:type="dxa"/>
          </w:tcPr>
          <w:p>
            <w:r>
              <w:rPr>
                <w:rFonts w:ascii="宋体" w:hAnsi="宋体" w:cs="宋体"/>
                <w:sz w:val="18"/>
                <w:szCs w:val="18"/>
              </w:rPr>
              <w:t>1.</w:t>
            </w:r>
            <w:r>
              <w:rPr>
                <w:rFonts w:hint="eastAsia" w:ascii="宋体" w:hAnsi="宋体" w:cs="宋体"/>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行政许可决定。</w:t>
            </w:r>
          </w:p>
        </w:tc>
        <w:tc>
          <w:tcPr>
            <w:tcW w:w="1980" w:type="dxa"/>
            <w:vAlign w:val="center"/>
          </w:tcPr>
          <w:p>
            <w:pPr>
              <w:spacing w:line="240" w:lineRule="exact"/>
              <w:rPr>
                <w:rFonts w:ascii="宋体" w:cs="宋体"/>
                <w:sz w:val="18"/>
                <w:szCs w:val="18"/>
              </w:rPr>
            </w:pPr>
            <w:r>
              <w:rPr>
                <w:rFonts w:hint="eastAsia" w:ascii="宋体" w:hAnsi="宋体" w:cs="宋体"/>
                <w:sz w:val="18"/>
                <w:szCs w:val="18"/>
              </w:rPr>
              <w:t>《中华人民共和国行政许可法》；《中华人民共和国政府信息公开条例》</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p>
            <w:pPr>
              <w:spacing w:line="240" w:lineRule="exact"/>
              <w:rPr>
                <w:rFonts w:ascii="宋体" w:cs="宋体"/>
                <w:sz w:val="18"/>
                <w:szCs w:val="18"/>
              </w:rPr>
            </w:pPr>
            <w:r>
              <w:rPr>
                <w:rFonts w:hint="eastAsia" w:ascii="宋体" w:hAnsi="宋体" w:cs="宋体"/>
                <w:sz w:val="18"/>
                <w:szCs w:val="18"/>
              </w:rPr>
              <w:t>■政务服务中心</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10</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非国有文物收藏单位和其他单位举办展览需借用国有馆藏二级以下文物审批</w:t>
            </w:r>
          </w:p>
        </w:tc>
        <w:tc>
          <w:tcPr>
            <w:tcW w:w="1446" w:type="dxa"/>
          </w:tcPr>
          <w:p>
            <w:r>
              <w:rPr>
                <w:rFonts w:ascii="宋体" w:hAnsi="宋体" w:cs="宋体"/>
                <w:sz w:val="18"/>
                <w:szCs w:val="18"/>
              </w:rPr>
              <w:t>1.</w:t>
            </w:r>
            <w:r>
              <w:rPr>
                <w:rFonts w:hint="eastAsia" w:ascii="宋体" w:hAnsi="宋体" w:cs="宋体"/>
                <w:sz w:val="18"/>
                <w:szCs w:val="18"/>
              </w:rPr>
              <w:t>办事指南：主要包括事项名称、设定依据、申请条件、办理材料、办理地点、办理时间、联系电话、办理流程、办理期限、申请行政许可需要提交的全部材料目录及办理情况</w:t>
            </w:r>
            <w:r>
              <w:rPr>
                <w:rFonts w:ascii="宋体" w:hAnsi="宋体" w:cs="宋体"/>
                <w:sz w:val="18"/>
                <w:szCs w:val="18"/>
              </w:rPr>
              <w:t>;</w:t>
            </w:r>
            <w:r>
              <w:rPr>
                <w:rFonts w:ascii="宋体" w:hAnsi="宋体" w:cs="宋体"/>
                <w:sz w:val="18"/>
                <w:szCs w:val="18"/>
              </w:rPr>
              <w:br w:type="textWrapping"/>
            </w:r>
            <w:r>
              <w:rPr>
                <w:rFonts w:ascii="宋体" w:hAnsi="宋体" w:cs="宋体"/>
                <w:sz w:val="18"/>
                <w:szCs w:val="18"/>
              </w:rPr>
              <w:t>2.</w:t>
            </w:r>
            <w:r>
              <w:rPr>
                <w:rFonts w:hint="eastAsia" w:ascii="宋体" w:hAnsi="宋体" w:cs="宋体"/>
                <w:sz w:val="18"/>
                <w:szCs w:val="18"/>
              </w:rPr>
              <w:t>行政许可决定。</w:t>
            </w:r>
          </w:p>
        </w:tc>
        <w:tc>
          <w:tcPr>
            <w:tcW w:w="1980" w:type="dxa"/>
            <w:vAlign w:val="center"/>
          </w:tcPr>
          <w:p>
            <w:pPr>
              <w:spacing w:line="240" w:lineRule="exact"/>
              <w:rPr>
                <w:rFonts w:ascii="宋体" w:cs="宋体"/>
                <w:sz w:val="18"/>
                <w:szCs w:val="18"/>
              </w:rPr>
            </w:pPr>
            <w:r>
              <w:rPr>
                <w:rFonts w:hint="eastAsia" w:ascii="宋体" w:hAnsi="宋体" w:cs="宋体"/>
                <w:sz w:val="18"/>
                <w:szCs w:val="18"/>
              </w:rPr>
              <w:t>《中华人民共和国行政许可法》；《中华人民共和国政府信息公开条例》</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p>
            <w:pPr>
              <w:spacing w:line="240" w:lineRule="exact"/>
              <w:rPr>
                <w:rFonts w:ascii="宋体" w:cs="宋体"/>
                <w:sz w:val="18"/>
                <w:szCs w:val="18"/>
              </w:rPr>
            </w:pPr>
            <w:r>
              <w:rPr>
                <w:rFonts w:hint="eastAsia" w:ascii="宋体" w:hAnsi="宋体" w:cs="宋体"/>
                <w:sz w:val="18"/>
                <w:szCs w:val="18"/>
              </w:rPr>
              <w:t>■政务服务中心</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3"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11</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对互联网上网服务营业场所违法行为的行政处罚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7"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12</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对娱乐场所违法行为的行政处罚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13</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对营业性演出违法行为的行政处罚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14</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对艺术品经营违法行为的行政处罚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15</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对社会艺术水平考级活动违法行为的行政处罚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3"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16</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对互联网文化单位违法行为的行政处罚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国务院关于促进市场公平竞争维护市场正常秩序的若干意见》、《国务院办公厅关于全面推行行政执法公示制度执法全过程记录制度重大执法决定法制审核制度的指导意见》、《互联网文化管理暂行规定》（文化部令第</w:t>
            </w:r>
            <w:r>
              <w:rPr>
                <w:rFonts w:ascii="宋体" w:hAnsi="宋体" w:cs="宋体"/>
                <w:sz w:val="18"/>
                <w:szCs w:val="18"/>
              </w:rPr>
              <w:t>51</w:t>
            </w:r>
            <w:r>
              <w:rPr>
                <w:rFonts w:hint="eastAsia" w:ascii="宋体" w:hAnsi="宋体" w:cs="宋体"/>
                <w:sz w:val="18"/>
                <w:szCs w:val="18"/>
              </w:rPr>
              <w:t>号，第</w:t>
            </w:r>
            <w:r>
              <w:rPr>
                <w:rFonts w:ascii="宋体" w:hAnsi="宋体" w:cs="宋体"/>
                <w:sz w:val="18"/>
                <w:szCs w:val="18"/>
              </w:rPr>
              <w:t>57</w:t>
            </w:r>
            <w:r>
              <w:rPr>
                <w:rFonts w:hint="eastAsia" w:ascii="宋体" w:hAnsi="宋体" w:cs="宋体"/>
                <w:sz w:val="18"/>
                <w:szCs w:val="18"/>
              </w:rPr>
              <w:t>号予以修改）</w:t>
            </w:r>
            <w:r>
              <w:rPr>
                <w:rFonts w:ascii="宋体" w:hAnsi="宋体" w:cs="宋体"/>
                <w:sz w:val="18"/>
                <w:szCs w:val="18"/>
              </w:rPr>
              <w:t xml:space="preserve">  </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0"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17</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对擅自在文物保护单位的保护范围内进行建设工程或者爆破、钻探、挖掘等作业的行为进行处罚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4"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18</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7"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19</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对擅自迁移、拆除不可移动文物的行为进行处罚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3"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20</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对擅自修缮不可移动文物，明显改变文物原状的行为进行处罚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21</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对擅自在原址重建已全部毁坏的不可移动文物，造成文物破坏的行为进行处罚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22</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对施工单位未取得文物保护工程资质证书，擅自从事文物修缮、迁移、重建的行为进行处罚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23</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对转让或者抵押国有不可移动文物的行为进行处罚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24</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对将国有不可移动文物作为企业资产经营的行为进行处罚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639"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50"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722"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63"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555" w:type="dxa"/>
            <w:vAlign w:val="center"/>
          </w:tcPr>
          <w:p>
            <w:pPr>
              <w:spacing w:line="240" w:lineRule="exact"/>
              <w:jc w:val="center"/>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540" w:type="dxa"/>
            <w:vAlign w:val="center"/>
          </w:tcPr>
          <w:p>
            <w:pPr>
              <w:spacing w:line="240" w:lineRule="exact"/>
              <w:rPr>
                <w:rFonts w:ascii="宋体" w:cs="宋体"/>
                <w:sz w:val="18"/>
                <w:szCs w:val="18"/>
              </w:rPr>
            </w:pPr>
            <w:r>
              <w:rPr>
                <w:rFonts w:ascii="宋体" w:hAnsi="宋体" w:cs="宋体"/>
                <w:sz w:val="18"/>
                <w:szCs w:val="18"/>
              </w:rPr>
              <w:t>25</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对将非国有不可移动文物转让或者抵押给外国人的行为进行处罚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639"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50"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722"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63"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555" w:type="dxa"/>
            <w:vAlign w:val="center"/>
          </w:tcPr>
          <w:p>
            <w:pPr>
              <w:spacing w:line="240" w:lineRule="exact"/>
              <w:jc w:val="center"/>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26</w:t>
            </w:r>
          </w:p>
        </w:tc>
        <w:tc>
          <w:tcPr>
            <w:tcW w:w="734" w:type="dxa"/>
            <w:vMerge w:val="restart"/>
            <w:vAlign w:val="center"/>
          </w:tcPr>
          <w:p>
            <w:pPr>
              <w:spacing w:line="240" w:lineRule="exact"/>
              <w:jc w:val="center"/>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对擅自改变国有文物保护单位用途的行为进行处罚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639"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50"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722"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63"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555" w:type="dxa"/>
            <w:vAlign w:val="center"/>
          </w:tcPr>
          <w:p>
            <w:pPr>
              <w:spacing w:line="240" w:lineRule="exact"/>
              <w:jc w:val="center"/>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27</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对文物收藏单位未按照国家有关规定配备防火、防盗、防自然损坏的设施的行为进行处罚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639"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50"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722"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63"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555" w:type="dxa"/>
            <w:vAlign w:val="center"/>
          </w:tcPr>
          <w:p>
            <w:pPr>
              <w:spacing w:line="240" w:lineRule="exact"/>
              <w:jc w:val="center"/>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28</w:t>
            </w:r>
          </w:p>
        </w:tc>
        <w:tc>
          <w:tcPr>
            <w:tcW w:w="734" w:type="dxa"/>
            <w:vMerge w:val="restart"/>
            <w:vAlign w:val="center"/>
          </w:tcPr>
          <w:p>
            <w:pPr>
              <w:spacing w:line="240" w:lineRule="exact"/>
              <w:jc w:val="center"/>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对国有文物收藏单位法定代表人离任时未按照馆藏文物档案移交馆藏文物，或者所移交的馆藏文物与馆藏文物档案不符的行为进行处罚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639"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50"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722"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63"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555" w:type="dxa"/>
            <w:vAlign w:val="center"/>
          </w:tcPr>
          <w:p>
            <w:pPr>
              <w:spacing w:line="240" w:lineRule="exact"/>
              <w:jc w:val="center"/>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29</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对将国有馆藏文物赠与、出租或者出售给其他单位、个人的行为进行处罚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639"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50"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722"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63"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555" w:type="dxa"/>
            <w:vAlign w:val="center"/>
          </w:tcPr>
          <w:p>
            <w:pPr>
              <w:spacing w:line="240" w:lineRule="exact"/>
              <w:jc w:val="center"/>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30</w:t>
            </w:r>
          </w:p>
        </w:tc>
        <w:tc>
          <w:tcPr>
            <w:tcW w:w="734" w:type="dxa"/>
            <w:vMerge w:val="restart"/>
            <w:vAlign w:val="center"/>
          </w:tcPr>
          <w:p>
            <w:pPr>
              <w:spacing w:line="240" w:lineRule="exact"/>
              <w:jc w:val="center"/>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对违法借用、交换、处置国有馆藏文物的行为进行处罚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639"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50"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722"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63"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555" w:type="dxa"/>
            <w:vAlign w:val="center"/>
          </w:tcPr>
          <w:p>
            <w:pPr>
              <w:spacing w:line="240" w:lineRule="exact"/>
              <w:jc w:val="center"/>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31</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对违法挪用或者侵占依法调拨、交换、出借文物所得补偿费用的行为进行处罚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639"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50"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722"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63"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555" w:type="dxa"/>
            <w:vAlign w:val="center"/>
          </w:tcPr>
          <w:p>
            <w:pPr>
              <w:spacing w:line="240" w:lineRule="exact"/>
              <w:jc w:val="center"/>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32</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对发现文物隐匿不报，或者拒不上交的行为进行处罚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639"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50"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722" w:type="dxa"/>
            <w:vAlign w:val="center"/>
          </w:tcPr>
          <w:p>
            <w:pPr>
              <w:spacing w:line="240" w:lineRule="exact"/>
              <w:jc w:val="center"/>
              <w:rPr>
                <w:rFonts w:ascii="宋体" w:cs="宋体"/>
                <w:sz w:val="18"/>
                <w:szCs w:val="18"/>
              </w:rPr>
            </w:pPr>
            <w:r>
              <w:rPr>
                <w:rFonts w:hint="eastAsia" w:ascii="宋体" w:hAnsi="宋体" w:cs="宋体"/>
                <w:sz w:val="18"/>
                <w:szCs w:val="18"/>
              </w:rPr>
              <w:t>　</w:t>
            </w:r>
          </w:p>
        </w:tc>
        <w:tc>
          <w:tcPr>
            <w:tcW w:w="463" w:type="dxa"/>
            <w:vAlign w:val="center"/>
          </w:tcPr>
          <w:p>
            <w:pPr>
              <w:spacing w:line="240" w:lineRule="exact"/>
              <w:jc w:val="center"/>
              <w:rPr>
                <w:rFonts w:ascii="宋体" w:cs="宋体"/>
                <w:sz w:val="18"/>
                <w:szCs w:val="18"/>
              </w:rPr>
            </w:pPr>
            <w:r>
              <w:rPr>
                <w:rFonts w:hint="eastAsia" w:ascii="宋体" w:hAnsi="宋体" w:cs="宋体"/>
                <w:sz w:val="18"/>
                <w:szCs w:val="18"/>
              </w:rPr>
              <w:t>√</w:t>
            </w:r>
          </w:p>
        </w:tc>
        <w:tc>
          <w:tcPr>
            <w:tcW w:w="555" w:type="dxa"/>
            <w:vAlign w:val="center"/>
          </w:tcPr>
          <w:p>
            <w:pPr>
              <w:spacing w:line="240" w:lineRule="exact"/>
              <w:jc w:val="center"/>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33</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对未按照规定移交拣选文物的行为进行处罚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34</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对未取得相应等级的文物保护工程资质证书，擅自承担文物保护单位的修缮、迁移、重建工程逾期不改正，或者造成严重后果的行为进行处罚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35</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处罚</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对未取得资质证书，擅自从事馆藏文物的修复、复制、拓印活动的行为进行处罚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36</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对擅自修复、复制、拓印馆藏珍贵文物的行为进行处罚</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处罚依据；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处罚结果。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宋体" w:cs="宋体"/>
                <w:sz w:val="18"/>
                <w:szCs w:val="18"/>
              </w:rPr>
            </w:pPr>
            <w:r>
              <w:rPr>
                <w:rFonts w:hint="eastAsia" w:ascii="宋体" w:hAnsi="宋体" w:cs="宋体"/>
                <w:sz w:val="18"/>
                <w:szCs w:val="18"/>
              </w:rPr>
              <w:t>执法决定信息在决定作出之日起</w:t>
            </w:r>
            <w:r>
              <w:rPr>
                <w:rFonts w:ascii="宋体" w:hAnsi="宋体" w:cs="宋体"/>
                <w:sz w:val="18"/>
                <w:szCs w:val="18"/>
              </w:rPr>
              <w:t>7</w:t>
            </w:r>
            <w:r>
              <w:rPr>
                <w:rFonts w:hint="eastAsia" w:ascii="宋体" w:hAnsi="宋体" w:cs="宋体"/>
                <w:sz w:val="18"/>
                <w:szCs w:val="18"/>
              </w:rPr>
              <w:t>个工作日内公开，其他相关信息形成或变更之日起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37</w:t>
            </w:r>
          </w:p>
        </w:tc>
        <w:tc>
          <w:tcPr>
            <w:tcW w:w="734" w:type="dxa"/>
            <w:vAlign w:val="center"/>
          </w:tcPr>
          <w:p>
            <w:pPr>
              <w:spacing w:line="240" w:lineRule="exact"/>
              <w:rPr>
                <w:rFonts w:ascii="宋体" w:cs="宋体"/>
                <w:sz w:val="18"/>
                <w:szCs w:val="18"/>
              </w:rPr>
            </w:pPr>
            <w:r>
              <w:rPr>
                <w:rFonts w:hint="eastAsia" w:ascii="宋体" w:hAnsi="宋体" w:cs="宋体"/>
                <w:sz w:val="18"/>
                <w:szCs w:val="18"/>
              </w:rPr>
              <w:t>行政</w:t>
            </w:r>
            <w:r>
              <w:rPr>
                <w:rFonts w:ascii="宋体" w:cs="宋体"/>
                <w:sz w:val="18"/>
                <w:szCs w:val="18"/>
              </w:rPr>
              <w:br w:type="textWrapping"/>
            </w:r>
            <w:r>
              <w:rPr>
                <w:rFonts w:hint="eastAsia" w:ascii="宋体" w:hAnsi="宋体" w:cs="宋体"/>
                <w:sz w:val="18"/>
                <w:szCs w:val="18"/>
              </w:rPr>
              <w:t>强制</w:t>
            </w:r>
          </w:p>
        </w:tc>
        <w:tc>
          <w:tcPr>
            <w:tcW w:w="1620" w:type="dxa"/>
            <w:vAlign w:val="center"/>
          </w:tcPr>
          <w:p>
            <w:pPr>
              <w:spacing w:line="240" w:lineRule="exact"/>
              <w:rPr>
                <w:rFonts w:ascii="宋体" w:cs="宋体"/>
                <w:sz w:val="18"/>
                <w:szCs w:val="18"/>
              </w:rPr>
            </w:pPr>
            <w:r>
              <w:rPr>
                <w:rFonts w:hint="eastAsia" w:ascii="宋体" w:hAnsi="宋体" w:cs="宋体"/>
                <w:sz w:val="18"/>
                <w:szCs w:val="18"/>
              </w:rPr>
              <w:t>对擅自从事互联网上网服务经营活动场所的查封，专用工具、设备的扣押</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主体信息；</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案由；</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处理依据；</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处理结果。</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r>
              <w:rPr>
                <w:rFonts w:ascii="宋体" w:hAnsi="宋体" w:cs="宋体"/>
                <w:sz w:val="18"/>
                <w:szCs w:val="18"/>
              </w:rPr>
              <w:t xml:space="preserve">          </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38</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公共</w:t>
            </w:r>
            <w:r>
              <w:rPr>
                <w:rFonts w:ascii="宋体" w:cs="宋体"/>
                <w:sz w:val="18"/>
                <w:szCs w:val="18"/>
              </w:rPr>
              <w:br w:type="textWrapping"/>
            </w:r>
            <w:r>
              <w:rPr>
                <w:rFonts w:hint="eastAsia" w:ascii="宋体" w:hAnsi="宋体" w:cs="宋体"/>
                <w:sz w:val="18"/>
                <w:szCs w:val="18"/>
              </w:rPr>
              <w:t>服务</w:t>
            </w:r>
          </w:p>
        </w:tc>
        <w:tc>
          <w:tcPr>
            <w:tcW w:w="1620" w:type="dxa"/>
            <w:vAlign w:val="center"/>
          </w:tcPr>
          <w:p>
            <w:pPr>
              <w:spacing w:line="240" w:lineRule="exact"/>
              <w:rPr>
                <w:rFonts w:ascii="宋体" w:cs="宋体"/>
                <w:sz w:val="18"/>
                <w:szCs w:val="18"/>
              </w:rPr>
            </w:pPr>
            <w:r>
              <w:rPr>
                <w:rFonts w:hint="eastAsia" w:ascii="宋体" w:hAnsi="宋体" w:cs="宋体"/>
                <w:sz w:val="18"/>
                <w:szCs w:val="18"/>
              </w:rPr>
              <w:t>公共文化机构免费开放信息</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机构名称；</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开放时间；</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机构地址；</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联系电话；</w:t>
            </w:r>
            <w:r>
              <w:rPr>
                <w:rFonts w:ascii="宋体" w:cs="宋体"/>
                <w:sz w:val="18"/>
                <w:szCs w:val="18"/>
              </w:rPr>
              <w:br w:type="textWrapping"/>
            </w:r>
            <w:r>
              <w:rPr>
                <w:rFonts w:ascii="宋体" w:hAnsi="宋体" w:cs="宋体"/>
                <w:sz w:val="18"/>
                <w:szCs w:val="18"/>
              </w:rPr>
              <w:t>5.</w:t>
            </w:r>
            <w:r>
              <w:rPr>
                <w:rFonts w:hint="eastAsia" w:ascii="宋体" w:hAnsi="宋体" w:cs="宋体"/>
                <w:sz w:val="18"/>
                <w:szCs w:val="18"/>
              </w:rPr>
              <w:t>临时停止开放信息。</w:t>
            </w:r>
          </w:p>
        </w:tc>
        <w:tc>
          <w:tcPr>
            <w:tcW w:w="1980" w:type="dxa"/>
            <w:vAlign w:val="center"/>
          </w:tcPr>
          <w:p>
            <w:pPr>
              <w:spacing w:line="240" w:lineRule="exact"/>
              <w:rPr>
                <w:rFonts w:ascii="宋体" w:cs="宋体"/>
                <w:sz w:val="18"/>
                <w:szCs w:val="18"/>
              </w:rPr>
            </w:pPr>
            <w:r>
              <w:rPr>
                <w:rFonts w:hint="eastAsia" w:ascii="宋体" w:hAnsi="宋体" w:cs="宋体"/>
                <w:sz w:val="18"/>
                <w:szCs w:val="18"/>
              </w:rPr>
              <w:t>《公共文化服务保障法》、《政府信息公开条例》、《文化部</w:t>
            </w:r>
            <w:r>
              <w:rPr>
                <w:rFonts w:ascii="宋体" w:hAnsi="宋体" w:cs="宋体"/>
                <w:sz w:val="18"/>
                <w:szCs w:val="18"/>
              </w:rPr>
              <w:t xml:space="preserve"> </w:t>
            </w:r>
            <w:r>
              <w:rPr>
                <w:rFonts w:hint="eastAsia" w:ascii="宋体" w:hAnsi="宋体" w:cs="宋体"/>
                <w:sz w:val="18"/>
                <w:szCs w:val="18"/>
              </w:rPr>
              <w:t>财政部关于推进全国美术馆、公共图书馆、文化馆（站）免费开放工作的意见》、《文化部</w:t>
            </w:r>
            <w:r>
              <w:rPr>
                <w:rFonts w:ascii="宋体" w:hAnsi="宋体" w:cs="宋体"/>
                <w:sz w:val="18"/>
                <w:szCs w:val="18"/>
              </w:rPr>
              <w:t xml:space="preserve"> </w:t>
            </w:r>
            <w:r>
              <w:rPr>
                <w:rFonts w:hint="eastAsia" w:ascii="宋体" w:hAnsi="宋体" w:cs="宋体"/>
                <w:sz w:val="18"/>
                <w:szCs w:val="18"/>
              </w:rPr>
              <w:t>财政部关于做好城市社区</w:t>
            </w:r>
            <w:r>
              <w:rPr>
                <w:rFonts w:ascii="宋体" w:hAnsi="宋体" w:cs="宋体"/>
                <w:sz w:val="18"/>
                <w:szCs w:val="18"/>
              </w:rPr>
              <w:t>(</w:t>
            </w:r>
            <w:r>
              <w:rPr>
                <w:rFonts w:hint="eastAsia" w:ascii="宋体" w:hAnsi="宋体" w:cs="宋体"/>
                <w:sz w:val="18"/>
                <w:szCs w:val="18"/>
              </w:rPr>
              <w:t>街道</w:t>
            </w:r>
            <w:r>
              <w:rPr>
                <w:rFonts w:ascii="宋体" w:hAnsi="宋体" w:cs="宋体"/>
                <w:sz w:val="18"/>
                <w:szCs w:val="18"/>
              </w:rPr>
              <w:t>)</w:t>
            </w:r>
            <w:r>
              <w:rPr>
                <w:rFonts w:hint="eastAsia" w:ascii="宋体" w:hAnsi="宋体" w:cs="宋体"/>
                <w:sz w:val="18"/>
                <w:szCs w:val="18"/>
              </w:rPr>
              <w:t>文化中心免费开放工作的通知》</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文化和旅游行政部门，相关公共文化服务机构</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38</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特殊群体公共文化服务信息</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机构名称；</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开放时间；</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机构地址；</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联系电话；</w:t>
            </w:r>
            <w:r>
              <w:rPr>
                <w:rFonts w:ascii="宋体" w:cs="宋体"/>
                <w:sz w:val="18"/>
                <w:szCs w:val="18"/>
              </w:rPr>
              <w:br w:type="textWrapping"/>
            </w:r>
            <w:r>
              <w:rPr>
                <w:rFonts w:ascii="宋体" w:hAnsi="宋体" w:cs="宋体"/>
                <w:sz w:val="18"/>
                <w:szCs w:val="18"/>
              </w:rPr>
              <w:t>5.</w:t>
            </w:r>
            <w:r>
              <w:rPr>
                <w:rFonts w:hint="eastAsia" w:ascii="宋体" w:hAnsi="宋体" w:cs="宋体"/>
                <w:sz w:val="18"/>
                <w:szCs w:val="18"/>
              </w:rPr>
              <w:t>临时停止开放信息。</w:t>
            </w:r>
          </w:p>
        </w:tc>
        <w:tc>
          <w:tcPr>
            <w:tcW w:w="1980" w:type="dxa"/>
            <w:vAlign w:val="center"/>
          </w:tcPr>
          <w:p>
            <w:pPr>
              <w:spacing w:line="240" w:lineRule="exact"/>
              <w:rPr>
                <w:rFonts w:ascii="宋体" w:cs="宋体"/>
                <w:sz w:val="18"/>
                <w:szCs w:val="18"/>
              </w:rPr>
            </w:pPr>
            <w:r>
              <w:rPr>
                <w:rFonts w:hint="eastAsia" w:ascii="宋体" w:hAnsi="宋体" w:cs="宋体"/>
                <w:sz w:val="18"/>
                <w:szCs w:val="18"/>
              </w:rPr>
              <w:t>《残疾人保障法》、《政府信息公开条例》、《中共中央办公厅</w:t>
            </w:r>
            <w:r>
              <w:rPr>
                <w:rFonts w:ascii="宋体" w:hAnsi="宋体" w:cs="宋体"/>
                <w:sz w:val="18"/>
                <w:szCs w:val="18"/>
              </w:rPr>
              <w:t xml:space="preserve"> </w:t>
            </w:r>
            <w:r>
              <w:rPr>
                <w:rFonts w:hint="eastAsia" w:ascii="宋体" w:hAnsi="宋体" w:cs="宋体"/>
                <w:sz w:val="18"/>
                <w:szCs w:val="18"/>
              </w:rPr>
              <w:t>国务院办公厅印发关于加快构建现代公共文化服务体系的意见》</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文化和旅游行政部门，相关公共文化服务机构</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40</w:t>
            </w:r>
          </w:p>
        </w:tc>
        <w:tc>
          <w:tcPr>
            <w:tcW w:w="734" w:type="dxa"/>
            <w:vMerge w:val="restart"/>
            <w:vAlign w:val="center"/>
          </w:tcPr>
          <w:p>
            <w:pPr>
              <w:spacing w:line="240" w:lineRule="exact"/>
              <w:rPr>
                <w:rFonts w:ascii="宋体" w:cs="宋体"/>
                <w:sz w:val="18"/>
                <w:szCs w:val="18"/>
              </w:rPr>
            </w:pPr>
            <w:r>
              <w:rPr>
                <w:rFonts w:hint="eastAsia" w:ascii="宋体" w:hAnsi="宋体" w:cs="宋体"/>
                <w:sz w:val="18"/>
                <w:szCs w:val="18"/>
              </w:rPr>
              <w:t>公共</w:t>
            </w:r>
            <w:r>
              <w:rPr>
                <w:rFonts w:ascii="宋体" w:cs="宋体"/>
                <w:sz w:val="18"/>
                <w:szCs w:val="18"/>
              </w:rPr>
              <w:br w:type="textWrapping"/>
            </w:r>
            <w:r>
              <w:rPr>
                <w:rFonts w:hint="eastAsia" w:ascii="宋体" w:hAnsi="宋体" w:cs="宋体"/>
                <w:sz w:val="18"/>
                <w:szCs w:val="18"/>
              </w:rPr>
              <w:t>服务</w:t>
            </w:r>
          </w:p>
        </w:tc>
        <w:tc>
          <w:tcPr>
            <w:tcW w:w="1620" w:type="dxa"/>
            <w:vAlign w:val="center"/>
          </w:tcPr>
          <w:p>
            <w:pPr>
              <w:spacing w:line="240" w:lineRule="exact"/>
              <w:rPr>
                <w:rFonts w:ascii="宋体" w:cs="宋体"/>
                <w:sz w:val="18"/>
                <w:szCs w:val="18"/>
              </w:rPr>
            </w:pPr>
            <w:r>
              <w:rPr>
                <w:rFonts w:hint="eastAsia" w:ascii="宋体" w:hAnsi="宋体" w:cs="宋体"/>
                <w:sz w:val="18"/>
                <w:szCs w:val="18"/>
              </w:rPr>
              <w:t>组织开展群体文化活动</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机构名称；</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开放时间；</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机构地址；</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联系电话；</w:t>
            </w:r>
            <w:r>
              <w:rPr>
                <w:rFonts w:ascii="宋体" w:cs="宋体"/>
                <w:sz w:val="18"/>
                <w:szCs w:val="18"/>
              </w:rPr>
              <w:br w:type="textWrapping"/>
            </w:r>
            <w:r>
              <w:rPr>
                <w:rFonts w:ascii="宋体" w:hAnsi="宋体" w:cs="宋体"/>
                <w:sz w:val="18"/>
                <w:szCs w:val="18"/>
              </w:rPr>
              <w:t>5.</w:t>
            </w:r>
            <w:r>
              <w:rPr>
                <w:rFonts w:hint="eastAsia" w:ascii="宋体" w:hAnsi="宋体" w:cs="宋体"/>
                <w:sz w:val="18"/>
                <w:szCs w:val="18"/>
              </w:rPr>
              <w:t>临时停止活动信息。</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《政府信息公开条例》、《文化馆服务标准》</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文化和旅游行政部门，相关公共文化服务机构</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41</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下基层辅导、演出、展览和指导基层群体文化活动</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活动时间；</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活动单位；</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活动地址；</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联系电话；</w:t>
            </w:r>
            <w:r>
              <w:rPr>
                <w:rFonts w:ascii="宋体" w:cs="宋体"/>
                <w:sz w:val="18"/>
                <w:szCs w:val="18"/>
              </w:rPr>
              <w:br w:type="textWrapping"/>
            </w:r>
            <w:r>
              <w:rPr>
                <w:rFonts w:ascii="宋体" w:hAnsi="宋体" w:cs="宋体"/>
                <w:sz w:val="18"/>
                <w:szCs w:val="18"/>
              </w:rPr>
              <w:t>5.</w:t>
            </w:r>
            <w:r>
              <w:rPr>
                <w:rFonts w:hint="eastAsia" w:ascii="宋体" w:hAnsi="宋体" w:cs="宋体"/>
                <w:sz w:val="18"/>
                <w:szCs w:val="18"/>
              </w:rPr>
              <w:t>临时停止活动信息。</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《政府信息公开条例》、《文化馆服务标准》</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文化和旅游行政部门，相关公共文化服务机构</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42</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举办各类展览、讲座信息</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活动时间；</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活动单位；</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活动地址；</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联系电话；</w:t>
            </w:r>
            <w:r>
              <w:rPr>
                <w:rFonts w:ascii="宋体" w:cs="宋体"/>
                <w:sz w:val="18"/>
                <w:szCs w:val="18"/>
              </w:rPr>
              <w:br w:type="textWrapping"/>
            </w:r>
            <w:r>
              <w:rPr>
                <w:rFonts w:ascii="宋体" w:hAnsi="宋体" w:cs="宋体"/>
                <w:sz w:val="18"/>
                <w:szCs w:val="18"/>
              </w:rPr>
              <w:t>5.</w:t>
            </w:r>
            <w:r>
              <w:rPr>
                <w:rFonts w:hint="eastAsia" w:ascii="宋体" w:hAnsi="宋体" w:cs="宋体"/>
                <w:sz w:val="18"/>
                <w:szCs w:val="18"/>
              </w:rPr>
              <w:t>临时停止活动信息。</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《政府信息公开条例》、《乡镇综合文化站管理办法》</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文化和旅游行政部门，相关公共文化服务机构</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43</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辅导和培训基层文化骨干</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培训时间；</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培训单位；</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培训地址；</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联系电话；</w:t>
            </w:r>
            <w:r>
              <w:rPr>
                <w:rFonts w:ascii="宋体" w:cs="宋体"/>
                <w:sz w:val="18"/>
                <w:szCs w:val="18"/>
              </w:rPr>
              <w:br w:type="textWrapping"/>
            </w:r>
            <w:r>
              <w:rPr>
                <w:rFonts w:ascii="宋体" w:hAnsi="宋体" w:cs="宋体"/>
                <w:sz w:val="18"/>
                <w:szCs w:val="18"/>
              </w:rPr>
              <w:t>5.</w:t>
            </w:r>
            <w:r>
              <w:rPr>
                <w:rFonts w:hint="eastAsia" w:ascii="宋体" w:hAnsi="宋体" w:cs="宋体"/>
                <w:sz w:val="18"/>
                <w:szCs w:val="18"/>
              </w:rPr>
              <w:t>临时停止活动信息。</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《政府信息公开条例》、《乡镇综合文化站管理办法》</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文化和旅游行政部门，相关公共文化服务机构</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44</w:t>
            </w:r>
          </w:p>
        </w:tc>
        <w:tc>
          <w:tcPr>
            <w:tcW w:w="734" w:type="dxa"/>
            <w:vMerge w:val="continue"/>
            <w:vAlign w:val="center"/>
          </w:tcPr>
          <w:p>
            <w:pPr>
              <w:spacing w:line="240" w:lineRule="exact"/>
              <w:rPr>
                <w:rFonts w:ascii="宋体" w:cs="宋体"/>
                <w:sz w:val="18"/>
                <w:szCs w:val="18"/>
              </w:rPr>
            </w:pPr>
          </w:p>
        </w:tc>
        <w:tc>
          <w:tcPr>
            <w:tcW w:w="1620" w:type="dxa"/>
            <w:vAlign w:val="center"/>
          </w:tcPr>
          <w:p>
            <w:pPr>
              <w:spacing w:line="240" w:lineRule="exact"/>
              <w:rPr>
                <w:rFonts w:ascii="宋体" w:cs="宋体"/>
                <w:sz w:val="18"/>
                <w:szCs w:val="18"/>
              </w:rPr>
            </w:pPr>
            <w:r>
              <w:rPr>
                <w:rFonts w:hint="eastAsia" w:ascii="宋体" w:hAnsi="宋体" w:cs="宋体"/>
                <w:sz w:val="18"/>
                <w:szCs w:val="18"/>
              </w:rPr>
              <w:t>非物质文化遗产展示传播活动</w:t>
            </w:r>
          </w:p>
        </w:tc>
        <w:tc>
          <w:tcPr>
            <w:tcW w:w="1446" w:type="dxa"/>
            <w:vAlign w:val="center"/>
          </w:tcPr>
          <w:p>
            <w:pPr>
              <w:spacing w:line="240" w:lineRule="exact"/>
              <w:rPr>
                <w:rFonts w:ascii="宋体" w:cs="宋体"/>
                <w:sz w:val="18"/>
                <w:szCs w:val="18"/>
              </w:rPr>
            </w:pPr>
            <w:r>
              <w:rPr>
                <w:rFonts w:ascii="宋体" w:hAnsi="宋体" w:cs="宋体"/>
                <w:sz w:val="18"/>
                <w:szCs w:val="18"/>
              </w:rPr>
              <w:t>1.</w:t>
            </w:r>
            <w:r>
              <w:rPr>
                <w:rFonts w:hint="eastAsia" w:ascii="宋体" w:hAnsi="宋体" w:cs="宋体"/>
                <w:sz w:val="18"/>
                <w:szCs w:val="18"/>
              </w:rPr>
              <w:t>活动时间；</w:t>
            </w:r>
            <w:r>
              <w:rPr>
                <w:rFonts w:ascii="宋体" w:cs="宋体"/>
                <w:sz w:val="18"/>
                <w:szCs w:val="18"/>
              </w:rPr>
              <w:br w:type="textWrapping"/>
            </w:r>
            <w:r>
              <w:rPr>
                <w:rFonts w:ascii="宋体" w:hAnsi="宋体" w:cs="宋体"/>
                <w:sz w:val="18"/>
                <w:szCs w:val="18"/>
              </w:rPr>
              <w:t>2.</w:t>
            </w:r>
            <w:r>
              <w:rPr>
                <w:rFonts w:hint="eastAsia" w:ascii="宋体" w:hAnsi="宋体" w:cs="宋体"/>
                <w:sz w:val="18"/>
                <w:szCs w:val="18"/>
              </w:rPr>
              <w:t>组织单位；</w:t>
            </w:r>
            <w:r>
              <w:rPr>
                <w:rFonts w:ascii="宋体" w:cs="宋体"/>
                <w:sz w:val="18"/>
                <w:szCs w:val="18"/>
              </w:rPr>
              <w:br w:type="textWrapping"/>
            </w:r>
            <w:r>
              <w:rPr>
                <w:rFonts w:ascii="宋体" w:hAnsi="宋体" w:cs="宋体"/>
                <w:sz w:val="18"/>
                <w:szCs w:val="18"/>
              </w:rPr>
              <w:t>3.</w:t>
            </w:r>
            <w:r>
              <w:rPr>
                <w:rFonts w:hint="eastAsia" w:ascii="宋体" w:hAnsi="宋体" w:cs="宋体"/>
                <w:sz w:val="18"/>
                <w:szCs w:val="18"/>
              </w:rPr>
              <w:t>活动地址；</w:t>
            </w:r>
            <w:r>
              <w:rPr>
                <w:rFonts w:ascii="宋体" w:cs="宋体"/>
                <w:sz w:val="18"/>
                <w:szCs w:val="18"/>
              </w:rPr>
              <w:br w:type="textWrapping"/>
            </w:r>
            <w:r>
              <w:rPr>
                <w:rFonts w:ascii="宋体" w:hAnsi="宋体" w:cs="宋体"/>
                <w:sz w:val="18"/>
                <w:szCs w:val="18"/>
              </w:rPr>
              <w:t>4.</w:t>
            </w:r>
            <w:r>
              <w:rPr>
                <w:rFonts w:hint="eastAsia" w:ascii="宋体" w:hAnsi="宋体" w:cs="宋体"/>
                <w:sz w:val="18"/>
                <w:szCs w:val="18"/>
              </w:rPr>
              <w:t>联系电话；</w:t>
            </w:r>
            <w:r>
              <w:rPr>
                <w:rFonts w:ascii="宋体" w:cs="宋体"/>
                <w:sz w:val="18"/>
                <w:szCs w:val="18"/>
              </w:rPr>
              <w:br w:type="textWrapping"/>
            </w:r>
            <w:r>
              <w:rPr>
                <w:rFonts w:ascii="宋体" w:hAnsi="宋体" w:cs="宋体"/>
                <w:sz w:val="18"/>
                <w:szCs w:val="18"/>
              </w:rPr>
              <w:t>5.</w:t>
            </w:r>
            <w:r>
              <w:rPr>
                <w:rFonts w:hint="eastAsia" w:ascii="宋体" w:hAnsi="宋体" w:cs="宋体"/>
                <w:sz w:val="18"/>
                <w:szCs w:val="18"/>
              </w:rPr>
              <w:t>临时停止活动信息。</w:t>
            </w:r>
          </w:p>
        </w:tc>
        <w:tc>
          <w:tcPr>
            <w:tcW w:w="1980" w:type="dxa"/>
            <w:vAlign w:val="center"/>
          </w:tcPr>
          <w:p>
            <w:pPr>
              <w:spacing w:line="240" w:lineRule="exact"/>
              <w:rPr>
                <w:rFonts w:ascii="宋体" w:cs="宋体"/>
                <w:sz w:val="18"/>
                <w:szCs w:val="18"/>
              </w:rPr>
            </w:pPr>
            <w:r>
              <w:rPr>
                <w:rFonts w:hint="eastAsia" w:ascii="宋体" w:hAnsi="宋体" w:cs="宋体"/>
                <w:sz w:val="18"/>
                <w:szCs w:val="18"/>
              </w:rPr>
              <w:t>《非物质文化遗产法》、《政府信息公开条例》</w:t>
            </w:r>
            <w:r>
              <w:rPr>
                <w:rFonts w:ascii="宋体" w:hAnsi="宋体" w:cs="宋体"/>
                <w:sz w:val="18"/>
                <w:szCs w:val="18"/>
              </w:rPr>
              <w:t xml:space="preserve">  </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文化和旅游行政部门，相关公共文化服务机构</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宋体" w:cs="宋体"/>
                <w:sz w:val="18"/>
                <w:szCs w:val="18"/>
              </w:rPr>
            </w:pPr>
            <w:r>
              <w:rPr>
                <w:rFonts w:ascii="宋体" w:hAnsi="宋体" w:cs="宋体"/>
                <w:sz w:val="18"/>
                <w:szCs w:val="18"/>
              </w:rPr>
              <w:t>45</w:t>
            </w:r>
          </w:p>
        </w:tc>
        <w:tc>
          <w:tcPr>
            <w:tcW w:w="734" w:type="dxa"/>
            <w:vAlign w:val="center"/>
          </w:tcPr>
          <w:p>
            <w:pPr>
              <w:spacing w:line="240" w:lineRule="exact"/>
              <w:rPr>
                <w:rFonts w:ascii="宋体" w:cs="宋体"/>
                <w:sz w:val="18"/>
                <w:szCs w:val="18"/>
              </w:rPr>
            </w:pPr>
            <w:r>
              <w:rPr>
                <w:rFonts w:hint="eastAsia" w:ascii="宋体" w:hAnsi="宋体" w:cs="宋体"/>
                <w:sz w:val="18"/>
                <w:szCs w:val="18"/>
              </w:rPr>
              <w:t>公共</w:t>
            </w:r>
            <w:r>
              <w:rPr>
                <w:rFonts w:ascii="宋体" w:cs="宋体"/>
                <w:sz w:val="18"/>
                <w:szCs w:val="18"/>
              </w:rPr>
              <w:br w:type="textWrapping"/>
            </w:r>
            <w:r>
              <w:rPr>
                <w:rFonts w:hint="eastAsia" w:ascii="宋体" w:hAnsi="宋体" w:cs="宋体"/>
                <w:sz w:val="18"/>
                <w:szCs w:val="18"/>
              </w:rPr>
              <w:t>服务</w:t>
            </w:r>
          </w:p>
        </w:tc>
        <w:tc>
          <w:tcPr>
            <w:tcW w:w="1620" w:type="dxa"/>
            <w:vAlign w:val="center"/>
          </w:tcPr>
          <w:p>
            <w:pPr>
              <w:spacing w:line="240" w:lineRule="exact"/>
              <w:rPr>
                <w:rFonts w:ascii="宋体" w:cs="宋体"/>
                <w:sz w:val="18"/>
                <w:szCs w:val="18"/>
              </w:rPr>
            </w:pPr>
            <w:r>
              <w:rPr>
                <w:rFonts w:hint="eastAsia" w:ascii="宋体" w:hAnsi="宋体" w:cs="宋体"/>
                <w:sz w:val="18"/>
                <w:szCs w:val="18"/>
              </w:rPr>
              <w:t>文博单位名录</w:t>
            </w:r>
          </w:p>
        </w:tc>
        <w:tc>
          <w:tcPr>
            <w:tcW w:w="1446" w:type="dxa"/>
            <w:vAlign w:val="center"/>
          </w:tcPr>
          <w:p>
            <w:pPr>
              <w:spacing w:line="240" w:lineRule="exact"/>
              <w:rPr>
                <w:rFonts w:ascii="宋体" w:cs="宋体"/>
                <w:sz w:val="18"/>
                <w:szCs w:val="18"/>
              </w:rPr>
            </w:pPr>
            <w:r>
              <w:rPr>
                <w:rFonts w:hint="eastAsia" w:ascii="宋体" w:hAnsi="宋体" w:cs="宋体"/>
                <w:sz w:val="18"/>
                <w:szCs w:val="18"/>
              </w:rPr>
              <w:t>文物保护管理机构和博物馆名录</w:t>
            </w:r>
          </w:p>
        </w:tc>
        <w:tc>
          <w:tcPr>
            <w:tcW w:w="1980" w:type="dxa"/>
            <w:vAlign w:val="center"/>
          </w:tcPr>
          <w:p>
            <w:pPr>
              <w:spacing w:line="240" w:lineRule="exact"/>
              <w:rPr>
                <w:rFonts w:ascii="宋体" w:cs="宋体"/>
                <w:sz w:val="18"/>
                <w:szCs w:val="18"/>
              </w:rPr>
            </w:pPr>
            <w:r>
              <w:rPr>
                <w:rFonts w:hint="eastAsia" w:ascii="宋体" w:hAnsi="宋体" w:cs="宋体"/>
                <w:sz w:val="18"/>
                <w:szCs w:val="18"/>
              </w:rPr>
              <w:t>《政府信息公开条例》</w:t>
            </w:r>
          </w:p>
        </w:tc>
        <w:tc>
          <w:tcPr>
            <w:tcW w:w="1814" w:type="dxa"/>
            <w:vAlign w:val="center"/>
          </w:tcPr>
          <w:p>
            <w:pPr>
              <w:spacing w:line="240" w:lineRule="exact"/>
              <w:rPr>
                <w:rFonts w:ascii="宋体" w:cs="宋体"/>
                <w:sz w:val="18"/>
                <w:szCs w:val="18"/>
              </w:rPr>
            </w:pPr>
            <w:r>
              <w:rPr>
                <w:rFonts w:hint="eastAsia" w:ascii="宋体" w:hAnsi="宋体" w:cs="宋体"/>
                <w:sz w:val="18"/>
                <w:szCs w:val="18"/>
              </w:rPr>
              <w:t>信息形成或变更之日起</w:t>
            </w:r>
            <w:r>
              <w:rPr>
                <w:rFonts w:ascii="宋体" w:hAnsi="宋体" w:cs="宋体"/>
                <w:sz w:val="18"/>
                <w:szCs w:val="18"/>
              </w:rPr>
              <w:t>20</w:t>
            </w:r>
            <w:r>
              <w:rPr>
                <w:rFonts w:hint="eastAsia" w:ascii="宋体" w:hAnsi="宋体" w:cs="宋体"/>
                <w:sz w:val="18"/>
                <w:szCs w:val="18"/>
              </w:rPr>
              <w:t>个工作日内公开</w:t>
            </w:r>
          </w:p>
        </w:tc>
        <w:tc>
          <w:tcPr>
            <w:tcW w:w="1426" w:type="dxa"/>
            <w:vAlign w:val="center"/>
          </w:tcPr>
          <w:p>
            <w:pPr>
              <w:spacing w:line="240" w:lineRule="exact"/>
              <w:rPr>
                <w:rFonts w:ascii="宋体" w:cs="宋体"/>
                <w:sz w:val="18"/>
                <w:szCs w:val="18"/>
              </w:rPr>
            </w:pPr>
            <w:r>
              <w:rPr>
                <w:rFonts w:hint="eastAsia" w:ascii="宋体" w:hAnsi="宋体" w:cs="宋体"/>
                <w:sz w:val="18"/>
                <w:szCs w:val="18"/>
              </w:rPr>
              <w:t>文物行政部门</w:t>
            </w:r>
          </w:p>
        </w:tc>
        <w:tc>
          <w:tcPr>
            <w:tcW w:w="1440" w:type="dxa"/>
            <w:vAlign w:val="center"/>
          </w:tcPr>
          <w:p>
            <w:pPr>
              <w:spacing w:line="240" w:lineRule="exact"/>
              <w:rPr>
                <w:rFonts w:ascii="宋体" w:cs="宋体"/>
                <w:sz w:val="18"/>
                <w:szCs w:val="18"/>
              </w:rPr>
            </w:pPr>
            <w:r>
              <w:rPr>
                <w:rFonts w:hint="eastAsia" w:ascii="宋体" w:hAnsi="宋体" w:cs="宋体"/>
                <w:sz w:val="18"/>
                <w:szCs w:val="18"/>
              </w:rPr>
              <w:t>■政府网站</w:t>
            </w:r>
          </w:p>
        </w:tc>
        <w:tc>
          <w:tcPr>
            <w:tcW w:w="605" w:type="dxa"/>
            <w:vAlign w:val="center"/>
          </w:tcPr>
          <w:p>
            <w:pPr>
              <w:spacing w:line="240" w:lineRule="exact"/>
              <w:rPr>
                <w:rFonts w:ascii="宋体" w:cs="宋体"/>
                <w:sz w:val="18"/>
                <w:szCs w:val="18"/>
              </w:rPr>
            </w:pPr>
            <w:r>
              <w:rPr>
                <w:rFonts w:hint="eastAsia" w:ascii="宋体" w:hAnsi="宋体" w:cs="宋体"/>
                <w:sz w:val="18"/>
                <w:szCs w:val="18"/>
              </w:rPr>
              <w:t>√</w:t>
            </w:r>
          </w:p>
        </w:tc>
        <w:tc>
          <w:tcPr>
            <w:tcW w:w="639" w:type="dxa"/>
            <w:vAlign w:val="center"/>
          </w:tcPr>
          <w:p>
            <w:pPr>
              <w:spacing w:line="240" w:lineRule="exact"/>
              <w:rPr>
                <w:rFonts w:ascii="宋体" w:cs="宋体"/>
                <w:sz w:val="18"/>
                <w:szCs w:val="18"/>
              </w:rPr>
            </w:pPr>
            <w:r>
              <w:rPr>
                <w:rFonts w:hint="eastAsia" w:ascii="宋体" w:hAnsi="宋体" w:cs="宋体"/>
                <w:sz w:val="18"/>
                <w:szCs w:val="18"/>
              </w:rPr>
              <w:t>　</w:t>
            </w:r>
          </w:p>
        </w:tc>
        <w:tc>
          <w:tcPr>
            <w:tcW w:w="450" w:type="dxa"/>
            <w:vAlign w:val="center"/>
          </w:tcPr>
          <w:p>
            <w:pPr>
              <w:spacing w:line="240" w:lineRule="exact"/>
              <w:rPr>
                <w:rFonts w:ascii="宋体" w:cs="宋体"/>
                <w:sz w:val="18"/>
                <w:szCs w:val="18"/>
              </w:rPr>
            </w:pPr>
            <w:r>
              <w:rPr>
                <w:rFonts w:hint="eastAsia" w:ascii="宋体" w:hAnsi="宋体" w:cs="宋体"/>
                <w:sz w:val="18"/>
                <w:szCs w:val="18"/>
              </w:rPr>
              <w:t>√</w:t>
            </w:r>
          </w:p>
        </w:tc>
        <w:tc>
          <w:tcPr>
            <w:tcW w:w="722" w:type="dxa"/>
            <w:vAlign w:val="center"/>
          </w:tcPr>
          <w:p>
            <w:pPr>
              <w:spacing w:line="240" w:lineRule="exact"/>
              <w:rPr>
                <w:rFonts w:ascii="宋体" w:cs="宋体"/>
                <w:sz w:val="18"/>
                <w:szCs w:val="18"/>
              </w:rPr>
            </w:pPr>
            <w:r>
              <w:rPr>
                <w:rFonts w:hint="eastAsia" w:ascii="宋体" w:hAnsi="宋体" w:cs="宋体"/>
                <w:sz w:val="18"/>
                <w:szCs w:val="18"/>
              </w:rPr>
              <w:t>　</w:t>
            </w:r>
          </w:p>
        </w:tc>
        <w:tc>
          <w:tcPr>
            <w:tcW w:w="463" w:type="dxa"/>
            <w:vAlign w:val="center"/>
          </w:tcPr>
          <w:p>
            <w:pPr>
              <w:spacing w:line="240" w:lineRule="exact"/>
              <w:rPr>
                <w:rFonts w:ascii="宋体" w:cs="宋体"/>
                <w:sz w:val="18"/>
                <w:szCs w:val="18"/>
              </w:rPr>
            </w:pPr>
            <w:r>
              <w:rPr>
                <w:rFonts w:hint="eastAsia" w:ascii="宋体" w:hAnsi="宋体" w:cs="宋体"/>
                <w:sz w:val="18"/>
                <w:szCs w:val="18"/>
              </w:rPr>
              <w:t>√</w:t>
            </w:r>
          </w:p>
        </w:tc>
        <w:tc>
          <w:tcPr>
            <w:tcW w:w="555" w:type="dxa"/>
            <w:vAlign w:val="center"/>
          </w:tcPr>
          <w:p>
            <w:pPr>
              <w:spacing w:line="240" w:lineRule="exact"/>
              <w:rPr>
                <w:rFonts w:ascii="宋体" w:cs="宋体"/>
                <w:sz w:val="18"/>
                <w:szCs w:val="18"/>
              </w:rPr>
            </w:pPr>
            <w:r>
              <w:rPr>
                <w:rFonts w:hint="eastAsia" w:ascii="宋体" w:hAnsi="宋体" w:cs="宋体"/>
                <w:sz w:val="18"/>
                <w:szCs w:val="18"/>
              </w:rPr>
              <w:t>√</w:t>
            </w:r>
          </w:p>
        </w:tc>
      </w:tr>
    </w:tbl>
    <w:p/>
    <w:p/>
    <w:sectPr>
      <w:pgSz w:w="16840" w:h="11907" w:orient="landscape"/>
      <w:pgMar w:top="1701" w:right="1361"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DB"/>
    <w:rsid w:val="001861EF"/>
    <w:rsid w:val="00394BDB"/>
    <w:rsid w:val="003C157A"/>
    <w:rsid w:val="00684D4B"/>
    <w:rsid w:val="00707E8D"/>
    <w:rsid w:val="00870E20"/>
    <w:rsid w:val="009A70F4"/>
    <w:rsid w:val="00A15111"/>
    <w:rsid w:val="00C65F75"/>
    <w:rsid w:val="7DF34D8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5"/>
    <w:qFormat/>
    <w:uiPriority w:val="99"/>
    <w:pPr>
      <w:keepNext/>
      <w:keepLines/>
      <w:spacing w:before="340" w:after="330" w:line="576" w:lineRule="auto"/>
      <w:outlineLvl w:val="0"/>
    </w:pPr>
    <w:rPr>
      <w:rFonts w:ascii="Calibri" w:hAnsi="Calibri"/>
      <w:b/>
      <w:bCs/>
      <w:kern w:val="44"/>
      <w:sz w:val="44"/>
      <w:szCs w:val="44"/>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Heading 1 Char"/>
    <w:basedOn w:val="4"/>
    <w:link w:val="2"/>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19</Pages>
  <Words>1410</Words>
  <Characters>8039</Characters>
  <Lines>0</Lines>
  <Paragraphs>0</Paragraphs>
  <TotalTime>18</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2020-11-13T10:45:00Z</dcterms:created>
  <dc:creator>Administrator</dc:creator>
  <cp:lastModifiedBy>kylin</cp:lastModifiedBy>
  <dcterms:modified xsi:type="dcterms:W3CDTF">2023-12-05T16:59:01Z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15c7a345c70643b5bec91a516ec3f198</vt:lpwstr>
  </property>
</Properties>
</file>